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578CC" w:rsidR="00D578CC" w:rsidP="00D578CC" w:rsidRDefault="00D578CC">
      <w:pPr>
        <w:spacing w:line="276" w:lineRule="auto"/>
        <w:jc w:val="center"/>
        <w:rPr>
          <w:rFonts w:ascii="Times New Roman" w:hAnsi="Times New Roman" w:cs="Times New Roman"/>
          <w:b/>
          <w:bCs/>
          <w:sz w:val="24"/>
          <w:szCs w:val="24"/>
        </w:rPr>
      </w:pPr>
      <w:r w:rsidRPr="00D578CC">
        <w:rPr>
          <w:rFonts w:ascii="Times New Roman" w:hAnsi="Times New Roman" w:cs="Times New Roman"/>
          <w:b/>
          <w:bCs/>
          <w:sz w:val="24"/>
          <w:szCs w:val="24"/>
        </w:rPr>
        <w:t>Small Nations and the Role of International Law</w:t>
      </w:r>
      <w:r w:rsidRPr="00BE3ECD" w:rsidR="00BE3ECD">
        <w:rPr>
          <w:rStyle w:val="FootnoteReference"/>
          <w:rFonts w:ascii="Times New Roman" w:hAnsi="Times New Roman" w:cs="Times New Roman"/>
          <w:b/>
          <w:bCs/>
          <w:sz w:val="24"/>
          <w:szCs w:val="24"/>
        </w:rPr>
        <w:footnoteReference w:customMarkFollows="1" w:id="1"/>
        <w:sym w:font="Symbol" w:char="F02A"/>
      </w:r>
    </w:p>
    <w:p w:rsidRPr="00D578CC" w:rsidR="00D578CC" w:rsidP="00D578CC" w:rsidRDefault="00D578CC">
      <w:pPr>
        <w:spacing w:line="276" w:lineRule="auto"/>
        <w:jc w:val="center"/>
        <w:rPr>
          <w:rFonts w:ascii="Times New Roman" w:hAnsi="Times New Roman" w:cs="Times New Roman"/>
          <w:sz w:val="24"/>
          <w:szCs w:val="24"/>
        </w:rPr>
      </w:pPr>
      <w:r w:rsidRPr="00D578CC">
        <w:rPr>
          <w:rFonts w:ascii="Times New Roman" w:hAnsi="Times New Roman" w:cs="Times New Roman"/>
          <w:sz w:val="24"/>
          <w:szCs w:val="24"/>
        </w:rPr>
        <w:t>Christina Hioureas</w:t>
      </w:r>
      <w:r w:rsidR="000F3B47">
        <w:rPr>
          <w:rStyle w:val="FootnoteReference"/>
          <w:rFonts w:ascii="Times New Roman" w:hAnsi="Times New Roman" w:cs="Times New Roman"/>
          <w:sz w:val="24"/>
          <w:szCs w:val="24"/>
        </w:rPr>
        <w:footnoteReference w:customMarkFollows="1" w:id="2"/>
        <w:t>†</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eastAsia="Aptos" w:cs="Times New Roman"/>
          <w:sz w:val="24"/>
          <w:szCs w:val="24"/>
        </w:rPr>
        <w:t>This paper is intended to serve as a reflection, based on experience before international courts and tribunals,</w:t>
      </w:r>
      <w:r w:rsidRPr="00D578CC">
        <w:rPr>
          <w:rFonts w:ascii="Times New Roman" w:hAnsi="Times New Roman" w:cs="Times New Roman"/>
          <w:sz w:val="24"/>
          <w:szCs w:val="24"/>
        </w:rPr>
        <w:t xml:space="preserve"> on how small nations can use international law to and secure their interest. I posit that from the South China Sea to the Indian Ocean, principled legal strategy, anchored in the law, can rebalance asymmetries of power. </w:t>
      </w:r>
    </w:p>
    <w:p w:rsidRPr="000D76CA" w:rsidR="00D578CC" w:rsidP="000D76CA" w:rsidRDefault="00D578CC">
      <w:pPr>
        <w:ind w:firstLine="720"/>
        <w:rPr>
          <w:rFonts w:ascii="Times New Roman" w:hAnsi="Times New Roman" w:cs="Times New Roman"/>
          <w:sz w:val="24"/>
          <w:szCs w:val="24"/>
        </w:rPr>
      </w:pPr>
      <w:r w:rsidRPr="00D578CC">
        <w:rPr>
          <w:rFonts w:ascii="Times New Roman" w:hAnsi="Times New Roman" w:cs="Times New Roman"/>
          <w:sz w:val="24"/>
          <w:szCs w:val="24"/>
        </w:rPr>
        <w:t>The article sets out three propositions.</w:t>
      </w:r>
      <w:r w:rsidRPr="00D578CC">
        <w:rPr>
          <w:rFonts w:ascii="Times New Roman" w:hAnsi="Times New Roman" w:cs="Times New Roman"/>
          <w:i/>
          <w:iCs/>
          <w:sz w:val="24"/>
          <w:szCs w:val="24"/>
        </w:rPr>
        <w:t xml:space="preserve"> </w:t>
      </w:r>
      <w:proofErr w:type="gramStart"/>
      <w:r w:rsidRPr="000D76CA">
        <w:rPr>
          <w:rFonts w:ascii="Times New Roman" w:hAnsi="Times New Roman" w:cs="Times New Roman"/>
          <w:i/>
          <w:iCs/>
          <w:sz w:val="24"/>
          <w:szCs w:val="24"/>
        </w:rPr>
        <w:t>First</w:t>
      </w:r>
      <w:r w:rsidRPr="000D76CA">
        <w:rPr>
          <w:rFonts w:ascii="Times New Roman" w:hAnsi="Times New Roman" w:cs="Times New Roman"/>
          <w:sz w:val="24"/>
          <w:szCs w:val="24"/>
        </w:rPr>
        <w:t>, that</w:t>
      </w:r>
      <w:proofErr w:type="gramEnd"/>
      <w:r w:rsidRPr="000D76CA">
        <w:rPr>
          <w:rFonts w:ascii="Times New Roman" w:hAnsi="Times New Roman" w:cs="Times New Roman"/>
          <w:sz w:val="24"/>
          <w:szCs w:val="24"/>
        </w:rPr>
        <w:t xml:space="preserve"> international law is a strategic power multiplier for small nations. </w:t>
      </w:r>
      <w:r w:rsidRPr="000D76CA">
        <w:rPr>
          <w:rFonts w:ascii="Times New Roman" w:hAnsi="Times New Roman" w:cs="Times New Roman"/>
          <w:i/>
          <w:iCs/>
          <w:sz w:val="24"/>
          <w:szCs w:val="24"/>
        </w:rPr>
        <w:t>Second</w:t>
      </w:r>
      <w:r w:rsidRPr="000D76CA">
        <w:rPr>
          <w:rFonts w:ascii="Times New Roman" w:hAnsi="Times New Roman" w:cs="Times New Roman"/>
          <w:sz w:val="24"/>
          <w:szCs w:val="24"/>
        </w:rPr>
        <w:t xml:space="preserve">, </w:t>
      </w:r>
      <w:r w:rsidRPr="00D578CC">
        <w:rPr>
          <w:rFonts w:ascii="Times New Roman" w:hAnsi="Times New Roman" w:cs="Times New Roman"/>
          <w:sz w:val="24"/>
          <w:szCs w:val="24"/>
        </w:rPr>
        <w:t>it</w:t>
      </w:r>
      <w:r w:rsidRPr="000D76CA">
        <w:rPr>
          <w:rFonts w:ascii="Times New Roman" w:hAnsi="Times New Roman" w:cs="Times New Roman"/>
          <w:sz w:val="24"/>
          <w:szCs w:val="24"/>
        </w:rPr>
        <w:t xml:space="preserve"> illustrate</w:t>
      </w:r>
      <w:r w:rsidRPr="00D578CC">
        <w:rPr>
          <w:rFonts w:ascii="Times New Roman" w:hAnsi="Times New Roman" w:cs="Times New Roman"/>
          <w:sz w:val="24"/>
          <w:szCs w:val="24"/>
        </w:rPr>
        <w:t>s</w:t>
      </w:r>
      <w:r w:rsidRPr="000D76CA">
        <w:rPr>
          <w:rFonts w:ascii="Times New Roman" w:hAnsi="Times New Roman" w:cs="Times New Roman"/>
          <w:sz w:val="24"/>
          <w:szCs w:val="24"/>
        </w:rPr>
        <w:t xml:space="preserve"> that proposition through three case studies in which my colleagues and I have had the privilege to serve</w:t>
      </w:r>
      <w:r w:rsidRPr="00D578CC">
        <w:rPr>
          <w:rFonts w:ascii="Times New Roman" w:hAnsi="Times New Roman" w:cs="Times New Roman"/>
          <w:sz w:val="24"/>
          <w:szCs w:val="24"/>
        </w:rPr>
        <w:t>, namely,</w:t>
      </w:r>
      <w:r w:rsidRPr="000D76CA">
        <w:rPr>
          <w:rFonts w:ascii="Times New Roman" w:hAnsi="Times New Roman" w:cs="Times New Roman"/>
          <w:sz w:val="24"/>
          <w:szCs w:val="24"/>
        </w:rPr>
        <w:t xml:space="preserve"> the Philippines’ arbitration concerning the South China Sea, Mauritius’ multi-forum approach to vindicate its sovereignty over the Chagos Archipelago, and the recent </w:t>
      </w:r>
      <w:r w:rsidRPr="00D578CC">
        <w:rPr>
          <w:rFonts w:ascii="Times New Roman" w:hAnsi="Times New Roman" w:cs="Times New Roman"/>
          <w:sz w:val="24"/>
          <w:szCs w:val="24"/>
        </w:rPr>
        <w:t>climate</w:t>
      </w:r>
      <w:r w:rsidRPr="000D76CA">
        <w:rPr>
          <w:rFonts w:ascii="Times New Roman" w:hAnsi="Times New Roman" w:cs="Times New Roman"/>
          <w:sz w:val="24"/>
          <w:szCs w:val="24"/>
        </w:rPr>
        <w:t xml:space="preserve"> change advisory opinion proceedings involving some of the most vulnerable States. </w:t>
      </w:r>
      <w:r w:rsidRPr="000D76CA">
        <w:rPr>
          <w:rFonts w:ascii="Times New Roman" w:hAnsi="Times New Roman" w:cs="Times New Roman"/>
          <w:i/>
          <w:iCs/>
          <w:sz w:val="24"/>
          <w:szCs w:val="24"/>
        </w:rPr>
        <w:t>Finally</w:t>
      </w:r>
      <w:r w:rsidRPr="000D76CA">
        <w:rPr>
          <w:rFonts w:ascii="Times New Roman" w:hAnsi="Times New Roman" w:cs="Times New Roman"/>
          <w:sz w:val="24"/>
          <w:szCs w:val="24"/>
        </w:rPr>
        <w:t xml:space="preserve">, I outline a practical toolkit for small States, including avenues which may be relevant to situations of foreign invasion and occupation, airspace constraints, and economic coercion.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In this context, it is important to bear in mind one premise that underly these propositions: </w:t>
      </w:r>
      <w:r w:rsidRPr="000D76CA">
        <w:rPr>
          <w:rFonts w:ascii="Times New Roman" w:hAnsi="Times New Roman" w:cs="Times New Roman"/>
          <w:sz w:val="24"/>
          <w:szCs w:val="24"/>
        </w:rPr>
        <w:t>for small nations, process choices are power choices.</w:t>
      </w:r>
      <w:r w:rsidRPr="00D578CC">
        <w:rPr>
          <w:rFonts w:ascii="Times New Roman" w:hAnsi="Times New Roman" w:cs="Times New Roman"/>
          <w:sz w:val="24"/>
          <w:szCs w:val="24"/>
        </w:rPr>
        <w:t xml:space="preserve"> Selecting the right forum, calibrating claims to the right instrument, and building an evidentiary record that decision-makers can trust often matter as much as the merits themselves. That is the thread that connects the Philippines in the South China Sea, Mauritius in the Chagos Archipelago, and vulnerable States in connection with climate change—and it is the thread that can guide other States as well. The aim of this piece is to show what can be achieved when States use international law as a deliberate instrument of policy—patiently, skillfully, and with resolve. </w:t>
      </w:r>
    </w:p>
    <w:p w:rsidRPr="00E83779" w:rsidR="00D578CC" w:rsidP="00D87085" w:rsidRDefault="00D578CC">
      <w:pPr>
        <w:pStyle w:val="Style2"/>
      </w:pPr>
      <w:r w:rsidRPr="00E83779">
        <w:t xml:space="preserve">International law is </w:t>
      </w:r>
      <w:r w:rsidR="00E83779">
        <w:t>a T</w:t>
      </w:r>
      <w:r w:rsidRPr="00E83779">
        <w:t xml:space="preserve">ool for </w:t>
      </w:r>
      <w:r w:rsidR="00E83779">
        <w:t>S</w:t>
      </w:r>
      <w:r w:rsidRPr="00E83779">
        <w:t xml:space="preserve">mall </w:t>
      </w:r>
      <w:r w:rsidR="00E83779">
        <w:t>N</w:t>
      </w:r>
      <w:r w:rsidRPr="00E83779">
        <w:t>ations</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There is a persistent myth in geopolitics that “might makes right.” International law exists to prove the opposite: that law, careful strategy, and sound process can prevail where raw power would otherwise overwhelm. For small nations, international law functions as an equalizer in three essential ways.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i/>
          <w:iCs/>
          <w:sz w:val="24"/>
          <w:szCs w:val="24"/>
        </w:rPr>
        <w:t>First</w:t>
      </w:r>
      <w:r w:rsidRPr="00D578CC">
        <w:rPr>
          <w:rFonts w:ascii="Times New Roman" w:hAnsi="Times New Roman" w:cs="Times New Roman"/>
          <w:sz w:val="24"/>
          <w:szCs w:val="24"/>
        </w:rPr>
        <w:t xml:space="preserve">, international law stabilizes expectations by clearly allocating rights and obligations—over territory, maritime zones, airspace, communications, and the environment—and by conferring standing to invoke those rights before neutral tribunals. Well-chosen fora and well-framed claims can unlock the leverage inherent in these </w:t>
      </w:r>
      <w:proofErr w:type="gramStart"/>
      <w:r w:rsidRPr="00D578CC">
        <w:rPr>
          <w:rFonts w:ascii="Times New Roman" w:hAnsi="Times New Roman" w:cs="Times New Roman"/>
          <w:sz w:val="24"/>
          <w:szCs w:val="24"/>
        </w:rPr>
        <w:t>entitlements</w:t>
      </w:r>
      <w:proofErr w:type="gramEnd"/>
      <w:r w:rsidRPr="00D578CC">
        <w:rPr>
          <w:rFonts w:ascii="Times New Roman" w:hAnsi="Times New Roman" w:cs="Times New Roman"/>
          <w:sz w:val="24"/>
          <w:szCs w:val="24"/>
        </w:rPr>
        <w:t>.</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i/>
          <w:iCs/>
          <w:sz w:val="24"/>
          <w:szCs w:val="24"/>
        </w:rPr>
        <w:t>Second</w:t>
      </w:r>
      <w:r w:rsidRPr="00D578CC">
        <w:rPr>
          <w:rFonts w:ascii="Times New Roman" w:hAnsi="Times New Roman" w:cs="Times New Roman"/>
          <w:sz w:val="24"/>
          <w:szCs w:val="24"/>
        </w:rPr>
        <w:t>,</w:t>
      </w:r>
      <w:r w:rsidRPr="00D578CC">
        <w:rPr>
          <w:rFonts w:ascii="Times New Roman" w:hAnsi="Times New Roman" w:cs="Times New Roman"/>
          <w:b/>
          <w:bCs/>
          <w:sz w:val="24"/>
          <w:szCs w:val="24"/>
        </w:rPr>
        <w:t xml:space="preserve"> </w:t>
      </w:r>
      <w:r w:rsidRPr="00D578CC">
        <w:rPr>
          <w:rFonts w:ascii="Times New Roman" w:hAnsi="Times New Roman" w:cs="Times New Roman"/>
          <w:sz w:val="24"/>
          <w:szCs w:val="24"/>
        </w:rPr>
        <w:t xml:space="preserve">international dispute resolution converts facts into evidence and assertions into authoritative findings. When a court determines, for example, that a claim to “historic rights” has no place outside a treaty’s limits, or that a State’s construction activities violate environmental duties, the debate shifts from rhetoric to adjudicated reality. Those decisions carry consequences—under the law, reputationally in the internationally community, and for businesses contemplating whether to invest in that State. The failure of a State to comply with a judgment has consequences. </w:t>
      </w:r>
    </w:p>
    <w:p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i/>
          <w:iCs/>
          <w:sz w:val="24"/>
          <w:szCs w:val="24"/>
        </w:rPr>
        <w:t>Third</w:t>
      </w:r>
      <w:r w:rsidRPr="00D578CC">
        <w:rPr>
          <w:rFonts w:ascii="Times New Roman" w:hAnsi="Times New Roman" w:cs="Times New Roman"/>
          <w:sz w:val="24"/>
          <w:szCs w:val="24"/>
        </w:rPr>
        <w:t>, international law forges coalitions. Advisory proceedings and multilateral processes, such as interventions</w:t>
      </w:r>
      <w:r w:rsidR="00E83779">
        <w:rPr>
          <w:rFonts w:ascii="Times New Roman" w:hAnsi="Times New Roman" w:cs="Times New Roman"/>
          <w:sz w:val="24"/>
          <w:szCs w:val="24"/>
        </w:rPr>
        <w:t xml:space="preserve"> before international proceedings</w:t>
      </w:r>
      <w:r w:rsidRPr="00D578CC">
        <w:rPr>
          <w:rFonts w:ascii="Times New Roman" w:hAnsi="Times New Roman" w:cs="Times New Roman"/>
          <w:sz w:val="24"/>
          <w:szCs w:val="24"/>
        </w:rPr>
        <w:t xml:space="preserve">, invite broader participation and help align the interests of States. The process of legal engagement—through pleadings and hearings—can build support and reshape the diplomatic terrain. </w:t>
      </w:r>
    </w:p>
    <w:p w:rsidRPr="00D87085" w:rsidR="00E83779" w:rsidP="000D76CA" w:rsidRDefault="00E83779">
      <w:pPr>
        <w:pStyle w:val="Style2"/>
      </w:pPr>
      <w:r w:rsidRPr="00D87085">
        <w:t>Case Studies that Illustrate International Law as a Tool for Small Nations</w:t>
      </w:r>
    </w:p>
    <w:p w:rsidRPr="00D578CC" w:rsidR="00D578CC" w:rsidP="000D76CA"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These dynamics are not theoretical</w:t>
      </w:r>
      <w:r w:rsidRPr="00E83779">
        <w:rPr>
          <w:rFonts w:ascii="Times New Roman" w:hAnsi="Times New Roman" w:cs="Times New Roman"/>
          <w:sz w:val="24"/>
          <w:szCs w:val="24"/>
        </w:rPr>
        <w:t xml:space="preserve">. </w:t>
      </w:r>
      <w:r w:rsidRPr="000D76CA">
        <w:rPr>
          <w:rFonts w:ascii="Times New Roman" w:hAnsi="Times New Roman" w:cs="Times New Roman"/>
          <w:sz w:val="24"/>
          <w:szCs w:val="24"/>
        </w:rPr>
        <w:t>They are visible</w:t>
      </w:r>
      <w:r w:rsidRPr="00D578CC">
        <w:rPr>
          <w:rFonts w:ascii="Times New Roman" w:hAnsi="Times New Roman" w:cs="Times New Roman"/>
          <w:sz w:val="24"/>
          <w:szCs w:val="24"/>
        </w:rPr>
        <w:t>—vividly so—in the Philippines’</w:t>
      </w:r>
      <w:r w:rsidR="00E83779">
        <w:rPr>
          <w:rFonts w:ascii="Times New Roman" w:hAnsi="Times New Roman" w:cs="Times New Roman"/>
          <w:sz w:val="24"/>
          <w:szCs w:val="24"/>
        </w:rPr>
        <w:t xml:space="preserve"> Annex VII arbitration under the</w:t>
      </w:r>
      <w:r w:rsidRPr="00D578CC">
        <w:rPr>
          <w:rFonts w:ascii="Times New Roman" w:hAnsi="Times New Roman" w:cs="Times New Roman"/>
          <w:sz w:val="24"/>
          <w:szCs w:val="24"/>
        </w:rPr>
        <w:t xml:space="preserve"> U</w:t>
      </w:r>
      <w:r w:rsidR="00E83779">
        <w:rPr>
          <w:rFonts w:ascii="Times New Roman" w:hAnsi="Times New Roman" w:cs="Times New Roman"/>
          <w:sz w:val="24"/>
          <w:szCs w:val="24"/>
        </w:rPr>
        <w:t xml:space="preserve">nited </w:t>
      </w:r>
      <w:r w:rsidRPr="00D578CC">
        <w:rPr>
          <w:rFonts w:ascii="Times New Roman" w:hAnsi="Times New Roman" w:cs="Times New Roman"/>
          <w:sz w:val="24"/>
          <w:szCs w:val="24"/>
        </w:rPr>
        <w:t>N</w:t>
      </w:r>
      <w:r w:rsidR="00E83779">
        <w:rPr>
          <w:rFonts w:ascii="Times New Roman" w:hAnsi="Times New Roman" w:cs="Times New Roman"/>
          <w:sz w:val="24"/>
          <w:szCs w:val="24"/>
        </w:rPr>
        <w:t>ations</w:t>
      </w:r>
      <w:r w:rsidRPr="00D578CC">
        <w:rPr>
          <w:rFonts w:ascii="Times New Roman" w:hAnsi="Times New Roman" w:cs="Times New Roman"/>
          <w:sz w:val="24"/>
          <w:szCs w:val="24"/>
        </w:rPr>
        <w:t xml:space="preserve"> Convention on the Law of the Sea (“</w:t>
      </w:r>
      <w:r w:rsidRPr="00D578CC">
        <w:rPr>
          <w:rFonts w:ascii="Times New Roman" w:hAnsi="Times New Roman" w:cs="Times New Roman"/>
          <w:b/>
          <w:bCs/>
          <w:sz w:val="24"/>
          <w:szCs w:val="24"/>
        </w:rPr>
        <w:t>UNCLOS</w:t>
      </w:r>
      <w:r w:rsidRPr="00D578CC">
        <w:rPr>
          <w:rFonts w:ascii="Times New Roman" w:hAnsi="Times New Roman" w:cs="Times New Roman"/>
          <w:sz w:val="24"/>
          <w:szCs w:val="24"/>
        </w:rPr>
        <w:t>”)</w:t>
      </w:r>
      <w:r w:rsidRPr="00D578CC">
        <w:rPr>
          <w:rStyle w:val="FootnoteReference"/>
          <w:rFonts w:ascii="Times New Roman" w:hAnsi="Times New Roman" w:cs="Times New Roman"/>
          <w:sz w:val="24"/>
          <w:szCs w:val="24"/>
        </w:rPr>
        <w:footnoteReference w:id="3"/>
      </w:r>
      <w:r w:rsidRPr="00D578CC">
        <w:rPr>
          <w:rFonts w:ascii="Times New Roman" w:hAnsi="Times New Roman" w:cs="Times New Roman"/>
          <w:sz w:val="24"/>
          <w:szCs w:val="24"/>
        </w:rPr>
        <w:t xml:space="preserve"> </w:t>
      </w:r>
      <w:r w:rsidR="00E83779">
        <w:rPr>
          <w:rFonts w:ascii="Times New Roman" w:hAnsi="Times New Roman" w:cs="Times New Roman"/>
          <w:sz w:val="24"/>
          <w:szCs w:val="24"/>
        </w:rPr>
        <w:t>in connection with the South China Sea</w:t>
      </w:r>
      <w:r w:rsidRPr="00D578CC">
        <w:rPr>
          <w:rFonts w:ascii="Times New Roman" w:hAnsi="Times New Roman" w:cs="Times New Roman"/>
          <w:sz w:val="24"/>
          <w:szCs w:val="24"/>
        </w:rPr>
        <w:t xml:space="preserve">, in Mauritius’ pathbreaking </w:t>
      </w:r>
      <w:r w:rsidR="00E83779">
        <w:rPr>
          <w:rFonts w:ascii="Times New Roman" w:hAnsi="Times New Roman" w:cs="Times New Roman"/>
          <w:sz w:val="24"/>
          <w:szCs w:val="24"/>
        </w:rPr>
        <w:t xml:space="preserve">legal </w:t>
      </w:r>
      <w:r w:rsidRPr="00D578CC">
        <w:rPr>
          <w:rFonts w:ascii="Times New Roman" w:hAnsi="Times New Roman" w:cs="Times New Roman"/>
          <w:sz w:val="24"/>
          <w:szCs w:val="24"/>
        </w:rPr>
        <w:t>campaign to end the United Kingdom’s (“</w:t>
      </w:r>
      <w:r w:rsidRPr="00D578CC">
        <w:rPr>
          <w:rFonts w:ascii="Times New Roman" w:hAnsi="Times New Roman" w:cs="Times New Roman"/>
          <w:b/>
          <w:bCs/>
          <w:sz w:val="24"/>
          <w:szCs w:val="24"/>
        </w:rPr>
        <w:t>UK</w:t>
      </w:r>
      <w:r w:rsidRPr="00D578CC">
        <w:rPr>
          <w:rFonts w:ascii="Times New Roman" w:hAnsi="Times New Roman" w:cs="Times New Roman"/>
          <w:sz w:val="24"/>
          <w:szCs w:val="24"/>
        </w:rPr>
        <w:t>”) unlawful excision of the Chagos Archipelago, and even in the recent climate change advisory opinion proceedings</w:t>
      </w:r>
      <w:r w:rsidR="00E83779">
        <w:rPr>
          <w:rFonts w:ascii="Times New Roman" w:hAnsi="Times New Roman" w:cs="Times New Roman"/>
          <w:sz w:val="24"/>
          <w:szCs w:val="24"/>
        </w:rPr>
        <w:t xml:space="preserve"> before the International Tribunal for the Law of the Sea (“</w:t>
      </w:r>
      <w:r w:rsidRPr="000D76CA" w:rsidR="00E83779">
        <w:rPr>
          <w:rFonts w:ascii="Times New Roman" w:hAnsi="Times New Roman" w:cs="Times New Roman"/>
          <w:b/>
          <w:bCs/>
          <w:sz w:val="24"/>
          <w:szCs w:val="24"/>
        </w:rPr>
        <w:t>ITLOS</w:t>
      </w:r>
      <w:r w:rsidR="00E83779">
        <w:rPr>
          <w:rFonts w:ascii="Times New Roman" w:hAnsi="Times New Roman" w:cs="Times New Roman"/>
          <w:sz w:val="24"/>
          <w:szCs w:val="24"/>
        </w:rPr>
        <w:t>”) and the International Court of Justice (“</w:t>
      </w:r>
      <w:r w:rsidRPr="000D76CA" w:rsidR="00E83779">
        <w:rPr>
          <w:rFonts w:ascii="Times New Roman" w:hAnsi="Times New Roman" w:cs="Times New Roman"/>
          <w:b/>
          <w:bCs/>
          <w:sz w:val="24"/>
          <w:szCs w:val="24"/>
        </w:rPr>
        <w:t>ICJ</w:t>
      </w:r>
      <w:r w:rsidR="00E83779">
        <w:rPr>
          <w:rFonts w:ascii="Times New Roman" w:hAnsi="Times New Roman" w:cs="Times New Roman"/>
          <w:sz w:val="24"/>
          <w:szCs w:val="24"/>
        </w:rPr>
        <w:t>”)</w:t>
      </w:r>
      <w:r w:rsidRPr="00D578CC">
        <w:rPr>
          <w:rFonts w:ascii="Times New Roman" w:hAnsi="Times New Roman" w:cs="Times New Roman"/>
          <w:sz w:val="24"/>
          <w:szCs w:val="24"/>
        </w:rPr>
        <w:t>. I will describe the advocacy choices those States made: what they asked courts and tribunals to decide, what they deliberately left out, and how they sequenced proceedings to accumulate the desired legal effect.</w:t>
      </w:r>
    </w:p>
    <w:p w:rsidRPr="00E83779" w:rsidR="00D578CC" w:rsidP="000D76CA" w:rsidRDefault="00E83779">
      <w:pPr>
        <w:pStyle w:val="Style1"/>
      </w:pPr>
      <w:r w:rsidRPr="00E83779">
        <w:t>The</w:t>
      </w:r>
      <w:r w:rsidRPr="00E83779" w:rsidR="00D578CC">
        <w:t xml:space="preserve"> South China Sea</w:t>
      </w:r>
      <w:r w:rsidRPr="00E83779">
        <w:t xml:space="preserve"> Arbitration</w:t>
      </w:r>
    </w:p>
    <w:p w:rsidR="00D87085"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The South China Sea is a body of water of almost unparalleled geopolitical importance. It has historically been a vital corridor for international trade, connecting the markets of China and India. Today, nearly one-third of global trade passes through the South China Sea.</w:t>
      </w:r>
      <w:r w:rsidRPr="00D578CC">
        <w:rPr>
          <w:rStyle w:val="FootnoteReference"/>
          <w:rFonts w:ascii="Times New Roman" w:hAnsi="Times New Roman" w:cs="Times New Roman"/>
          <w:sz w:val="24"/>
          <w:szCs w:val="24"/>
        </w:rPr>
        <w:footnoteReference w:id="4"/>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It is a semi-enclosed body of water, bounded by China to the north; Malaysia, Brunei, Indonesia, to the south; the Philippines to the east, and Vietnam to the west.</w:t>
      </w:r>
      <w:r w:rsidRPr="00D578CC">
        <w:rPr>
          <w:rStyle w:val="FootnoteReference"/>
          <w:rFonts w:ascii="Times New Roman" w:hAnsi="Times New Roman" w:cs="Times New Roman"/>
          <w:sz w:val="24"/>
          <w:szCs w:val="24"/>
        </w:rPr>
        <w:footnoteReference w:id="5"/>
      </w:r>
      <w:r w:rsidRPr="00D578CC">
        <w:rPr>
          <w:rFonts w:ascii="Times New Roman" w:hAnsi="Times New Roman" w:cs="Times New Roman"/>
          <w:sz w:val="24"/>
          <w:szCs w:val="24"/>
        </w:rPr>
        <w:t xml:space="preserve"> These countries claim various parts of the South China Sea, often in overlapping areas, which have been the subject of negotiations. The United States has, in recent years, asserted its own regional dominance through freedom of navigation operations, reinforcing its position that these are international waters.</w:t>
      </w:r>
      <w:r w:rsidRPr="00D578CC">
        <w:rPr>
          <w:rStyle w:val="FootnoteReference"/>
          <w:rFonts w:ascii="Times New Roman" w:hAnsi="Times New Roman" w:cs="Times New Roman"/>
          <w:sz w:val="24"/>
          <w:szCs w:val="24"/>
        </w:rPr>
        <w:footnoteReference w:id="6"/>
      </w:r>
      <w:r w:rsidRPr="00D578CC">
        <w:rPr>
          <w:rFonts w:ascii="Times New Roman" w:hAnsi="Times New Roman" w:cs="Times New Roman"/>
          <w:sz w:val="24"/>
          <w:szCs w:val="24"/>
        </w:rPr>
        <w:t xml:space="preserve"> All of this takes place over a backdrop of what is believed to be significant oil and gas reserves waiting to be exploited under the sea floor – not to mention the military importance of the region. </w:t>
      </w:r>
    </w:p>
    <w:p w:rsidR="00E83779"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When the Philippines initiated this arbitration,</w:t>
      </w:r>
      <w:r w:rsidRPr="00D578CC">
        <w:rPr>
          <w:rStyle w:val="FootnoteReference"/>
          <w:rFonts w:ascii="Times New Roman" w:hAnsi="Times New Roman" w:cs="Times New Roman"/>
          <w:sz w:val="24"/>
          <w:szCs w:val="24"/>
        </w:rPr>
        <w:footnoteReference w:id="7"/>
      </w:r>
      <w:r w:rsidRPr="00D578CC">
        <w:rPr>
          <w:rFonts w:ascii="Times New Roman" w:hAnsi="Times New Roman" w:cs="Times New Roman"/>
          <w:sz w:val="24"/>
          <w:szCs w:val="24"/>
        </w:rPr>
        <w:t xml:space="preserve"> it faced daunting realities</w:t>
      </w:r>
      <w:r w:rsidR="00E83779">
        <w:rPr>
          <w:rFonts w:ascii="Times New Roman" w:hAnsi="Times New Roman" w:cs="Times New Roman"/>
          <w:sz w:val="24"/>
          <w:szCs w:val="24"/>
        </w:rPr>
        <w:t>.</w:t>
      </w:r>
      <w:r w:rsidRPr="00D578CC">
        <w:rPr>
          <w:rFonts w:ascii="Times New Roman" w:hAnsi="Times New Roman" w:cs="Times New Roman"/>
          <w:sz w:val="24"/>
          <w:szCs w:val="24"/>
        </w:rPr>
        <w:t xml:space="preserve"> China’s expansive claims </w:t>
      </w:r>
      <w:r w:rsidR="00E83779">
        <w:rPr>
          <w:rFonts w:ascii="Times New Roman" w:hAnsi="Times New Roman" w:cs="Times New Roman"/>
          <w:sz w:val="24"/>
          <w:szCs w:val="24"/>
        </w:rPr>
        <w:t xml:space="preserve">were </w:t>
      </w:r>
      <w:r w:rsidRPr="00D578CC">
        <w:rPr>
          <w:rFonts w:ascii="Times New Roman" w:hAnsi="Times New Roman" w:cs="Times New Roman"/>
          <w:sz w:val="24"/>
          <w:szCs w:val="24"/>
        </w:rPr>
        <w:t xml:space="preserve">framed by many </w:t>
      </w:r>
      <w:r w:rsidR="00E83779">
        <w:rPr>
          <w:rFonts w:ascii="Times New Roman" w:hAnsi="Times New Roman" w:cs="Times New Roman"/>
          <w:sz w:val="24"/>
          <w:szCs w:val="24"/>
        </w:rPr>
        <w:t>readers may</w:t>
      </w:r>
      <w:r w:rsidRPr="00D578CC">
        <w:rPr>
          <w:rFonts w:ascii="Times New Roman" w:hAnsi="Times New Roman" w:cs="Times New Roman"/>
          <w:sz w:val="24"/>
          <w:szCs w:val="24"/>
        </w:rPr>
        <w:t xml:space="preserve"> know as the “nine-dash line</w:t>
      </w:r>
      <w:r w:rsidR="00E83779">
        <w:rPr>
          <w:rFonts w:ascii="Times New Roman" w:hAnsi="Times New Roman" w:cs="Times New Roman"/>
          <w:sz w:val="24"/>
          <w:szCs w:val="24"/>
        </w:rPr>
        <w:t>.”</w:t>
      </w:r>
    </w:p>
    <w:p w:rsidR="00E83779" w:rsidP="000D76CA" w:rsidRDefault="00E83779">
      <w:pPr>
        <w:jc w:val="center"/>
        <w:rPr>
          <w:rFonts w:ascii="Times New Roman" w:hAnsi="Times New Roman" w:eastAsia="Aptos" w:cs="Times New Roman"/>
        </w:rPr>
      </w:pPr>
      <w:r w:rsidRPr="00E046DA">
        <w:rPr>
          <w:rFonts w:ascii="Times New Roman" w:hAnsi="Times New Roman" w:eastAsia="Aptos" w:cs="Times New Roman"/>
          <w:noProof/>
        </w:rPr>
        <w:drawing>
          <wp:inline distT="0" distB="0" distL="0" distR="0" wp14:anchorId="07FAB822" wp14:editId="137C9192">
            <wp:extent cx="4876800" cy="4740813"/>
            <wp:effectExtent l="0" t="0" r="0" b="3175"/>
            <wp:docPr id="2050" name="Picture 2" descr="" title="">
              <a:extLst xmlns:a="http://schemas.openxmlformats.org/drawingml/2006/main">
                <a:ext uri="{FF2B5EF4-FFF2-40B4-BE49-F238E27FC236}">
                  <a16:creationId xmlns:a16="http://schemas.microsoft.com/office/drawing/2014/main" id="{A64A59B6-3AEF-C824-4194-46914177B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hina's Maritime Claims">
                      <a:extLst>
                        <a:ext uri="{FF2B5EF4-FFF2-40B4-BE49-F238E27FC236}">
                          <a16:creationId xmlns:a16="http://schemas.microsoft.com/office/drawing/2014/main" id="{A64A59B6-3AEF-C824-4194-46914177B038}"/>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703"/>
                    <a:stretch>
                      <a:fillRect/>
                    </a:stretch>
                  </pic:blipFill>
                  <pic:spPr bwMode="auto">
                    <a:xfrm>
                      <a:off x="0" y="0"/>
                      <a:ext cx="4900222" cy="4763582"/>
                    </a:xfrm>
                    <a:prstGeom prst="rect">
                      <a:avLst/>
                    </a:prstGeom>
                    <a:noFill/>
                  </pic:spPr>
                </pic:pic>
              </a:graphicData>
            </a:graphic>
          </wp:inline>
        </w:drawing>
      </w:r>
    </w:p>
    <w:p w:rsidRPr="000D76CA" w:rsidR="00E83779" w:rsidP="000D76CA" w:rsidRDefault="00E83779">
      <w:pPr>
        <w:jc w:val="center"/>
        <w:rPr>
          <w:rFonts w:ascii="Times New Roman" w:hAnsi="Times New Roman" w:eastAsia="Aptos" w:cs="Times New Roman"/>
          <w:sz w:val="20"/>
          <w:szCs w:val="20"/>
        </w:rPr>
      </w:pPr>
      <w:r>
        <w:rPr>
          <w:rFonts w:ascii="Times New Roman" w:hAnsi="Times New Roman" w:eastAsia="Aptos" w:cs="Times New Roman"/>
          <w:sz w:val="20"/>
          <w:szCs w:val="20"/>
        </w:rPr>
        <w:t>Image Presented during Oral Hearing before the Arbitral Tribunal</w:t>
      </w:r>
      <w:r>
        <w:rPr>
          <w:rFonts w:ascii="Times New Roman" w:hAnsi="Times New Roman" w:cs="Times New Roman"/>
          <w:sz w:val="24"/>
          <w:szCs w:val="24"/>
        </w:rPr>
        <w:t xml:space="preserve"> </w:t>
      </w:r>
    </w:p>
    <w:p w:rsidRPr="00D578CC" w:rsidR="00D578CC" w:rsidP="00D578CC" w:rsidRDefault="00E83779">
      <w:pPr>
        <w:spacing w:line="276" w:lineRule="auto"/>
        <w:ind w:firstLine="720"/>
        <w:rPr>
          <w:rFonts w:ascii="Times New Roman" w:hAnsi="Times New Roman" w:cs="Times New Roman"/>
          <w:sz w:val="24"/>
          <w:szCs w:val="24"/>
        </w:rPr>
      </w:pPr>
      <w:r>
        <w:rPr>
          <w:rFonts w:ascii="Times New Roman" w:hAnsi="Times New Roman" w:cs="Times New Roman"/>
          <w:sz w:val="24"/>
          <w:szCs w:val="24"/>
        </w:rPr>
        <w:t>China also exerted</w:t>
      </w:r>
      <w:r w:rsidRPr="00D578CC" w:rsidR="00D578CC">
        <w:rPr>
          <w:rFonts w:ascii="Times New Roman" w:hAnsi="Times New Roman" w:cs="Times New Roman"/>
          <w:sz w:val="24"/>
          <w:szCs w:val="24"/>
        </w:rPr>
        <w:t xml:space="preserve"> persistent interference with Philippine fishing and resource </w:t>
      </w:r>
      <w:proofErr w:type="gramStart"/>
      <w:r w:rsidRPr="00D578CC" w:rsidR="00D578CC">
        <w:rPr>
          <w:rFonts w:ascii="Times New Roman" w:hAnsi="Times New Roman" w:cs="Times New Roman"/>
          <w:sz w:val="24"/>
          <w:szCs w:val="24"/>
        </w:rPr>
        <w:t>activities, and</w:t>
      </w:r>
      <w:proofErr w:type="gramEnd"/>
      <w:r w:rsidRPr="00D578CC" w:rsidR="00D578CC">
        <w:rPr>
          <w:rFonts w:ascii="Times New Roman" w:hAnsi="Times New Roman" w:cs="Times New Roman"/>
          <w:sz w:val="24"/>
          <w:szCs w:val="24"/>
        </w:rPr>
        <w:t xml:space="preserve"> </w:t>
      </w:r>
      <w:r>
        <w:rPr>
          <w:rFonts w:ascii="Times New Roman" w:hAnsi="Times New Roman" w:cs="Times New Roman"/>
          <w:sz w:val="24"/>
          <w:szCs w:val="24"/>
        </w:rPr>
        <w:t>engaged in</w:t>
      </w:r>
      <w:r w:rsidRPr="00D578CC">
        <w:rPr>
          <w:rFonts w:ascii="Times New Roman" w:hAnsi="Times New Roman" w:cs="Times New Roman"/>
          <w:sz w:val="24"/>
          <w:szCs w:val="24"/>
        </w:rPr>
        <w:t xml:space="preserve"> </w:t>
      </w:r>
      <w:r w:rsidRPr="00D578CC" w:rsidR="00D578CC">
        <w:rPr>
          <w:rFonts w:ascii="Times New Roman" w:hAnsi="Times New Roman" w:cs="Times New Roman"/>
          <w:sz w:val="24"/>
          <w:szCs w:val="24"/>
        </w:rPr>
        <w:t>large-scale artificial island-building that devastated the coral ecosystems and advanced its military footprint.</w:t>
      </w:r>
      <w:r w:rsidRPr="00D578CC" w:rsidR="00D578CC">
        <w:rPr>
          <w:rStyle w:val="FootnoteReference"/>
          <w:rFonts w:ascii="Times New Roman" w:hAnsi="Times New Roman" w:cs="Times New Roman"/>
          <w:sz w:val="24"/>
          <w:szCs w:val="24"/>
        </w:rPr>
        <w:footnoteReference w:id="8"/>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Diplomacy had stalled; force was neither viable nor lawful. The question was whether international law could deliver results. </w:t>
      </w:r>
      <w:r w:rsidR="00E83779">
        <w:rPr>
          <w:rFonts w:ascii="Times New Roman" w:hAnsi="Times New Roman" w:cs="Times New Roman"/>
          <w:sz w:val="24"/>
          <w:szCs w:val="24"/>
        </w:rPr>
        <w:t>In this dilemma, t</w:t>
      </w:r>
      <w:r w:rsidRPr="00D578CC">
        <w:rPr>
          <w:rFonts w:ascii="Times New Roman" w:hAnsi="Times New Roman" w:cs="Times New Roman"/>
          <w:sz w:val="24"/>
          <w:szCs w:val="24"/>
        </w:rPr>
        <w:t xml:space="preserve">he Philippines turned to UNCLOS for two clear reasons: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i/>
          <w:iCs/>
          <w:sz w:val="24"/>
          <w:szCs w:val="24"/>
        </w:rPr>
        <w:t>First</w:t>
      </w:r>
      <w:r w:rsidRPr="00D578CC">
        <w:rPr>
          <w:rFonts w:ascii="Times New Roman" w:hAnsi="Times New Roman" w:cs="Times New Roman"/>
          <w:sz w:val="24"/>
          <w:szCs w:val="24"/>
        </w:rPr>
        <w:t xml:space="preserve">, Part XV of the Convention creates compulsory settlement procedures for </w:t>
      </w:r>
      <w:r w:rsidRPr="00D578CC">
        <w:rPr>
          <w:rFonts w:ascii="Times New Roman" w:hAnsi="Times New Roman" w:cs="Times New Roman"/>
          <w:i/>
          <w:iCs/>
          <w:sz w:val="24"/>
          <w:szCs w:val="24"/>
        </w:rPr>
        <w:t>any</w:t>
      </w:r>
      <w:r w:rsidRPr="00D578CC">
        <w:rPr>
          <w:rFonts w:ascii="Times New Roman" w:hAnsi="Times New Roman" w:cs="Times New Roman"/>
          <w:sz w:val="24"/>
          <w:szCs w:val="24"/>
        </w:rPr>
        <w:t xml:space="preserve"> dispute concerning the interpretation and application of its provisions, with Annex VII arbitration as the default. Notably, under UNCLOS, “absence of a party or failure of a party to defend its case shall not constitute a bar to the proceedings” (Annex VII, Article 9). A tribunal having jurisdiction under the Convention may thus proceed even if a respondent declines to appear. This was particularly important given that China had consistently rejected any attempt by the Philippines to refer the dispute to adjudication. </w:t>
      </w:r>
      <w:r w:rsidR="00E83779">
        <w:rPr>
          <w:rFonts w:ascii="Times New Roman" w:hAnsi="Times New Roman" w:cs="Times New Roman"/>
          <w:sz w:val="24"/>
          <w:szCs w:val="24"/>
        </w:rPr>
        <w:t>Indeed</w:t>
      </w:r>
      <w:r w:rsidRPr="00D578CC">
        <w:rPr>
          <w:rFonts w:ascii="Times New Roman" w:hAnsi="Times New Roman" w:cs="Times New Roman"/>
          <w:sz w:val="24"/>
          <w:szCs w:val="24"/>
        </w:rPr>
        <w:t xml:space="preserve">, China chose not to formally participate in the proceedings.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i/>
          <w:iCs/>
          <w:sz w:val="24"/>
          <w:szCs w:val="24"/>
        </w:rPr>
        <w:t>Second</w:t>
      </w:r>
      <w:r w:rsidRPr="00D578CC">
        <w:rPr>
          <w:rFonts w:ascii="Times New Roman" w:hAnsi="Times New Roman" w:cs="Times New Roman"/>
          <w:sz w:val="24"/>
          <w:szCs w:val="24"/>
        </w:rPr>
        <w:t xml:space="preserve">, it must be noted that UNCLOS does </w:t>
      </w:r>
      <w:r w:rsidRPr="00D578CC">
        <w:rPr>
          <w:rFonts w:ascii="Times New Roman" w:hAnsi="Times New Roman" w:cs="Times New Roman"/>
          <w:i/>
          <w:iCs/>
          <w:sz w:val="24"/>
          <w:szCs w:val="24"/>
        </w:rPr>
        <w:t>not</w:t>
      </w:r>
      <w:r w:rsidRPr="00D578CC">
        <w:rPr>
          <w:rFonts w:ascii="Times New Roman" w:hAnsi="Times New Roman" w:cs="Times New Roman"/>
          <w:sz w:val="24"/>
          <w:szCs w:val="24"/>
        </w:rPr>
        <w:t xml:space="preserve"> govern the question of sovereignty over maritime features. China had made a declaration under Article 298 of UNCLOS excluding disputes on delimitation, among other issues, from compulsory dispute settlement.</w:t>
      </w:r>
      <w:r w:rsidRPr="00D578CC">
        <w:rPr>
          <w:rStyle w:val="FootnoteReference"/>
          <w:rFonts w:ascii="Times New Roman" w:hAnsi="Times New Roman" w:cs="Times New Roman"/>
          <w:sz w:val="24"/>
          <w:szCs w:val="24"/>
        </w:rPr>
        <w:footnoteReference w:id="9"/>
      </w:r>
      <w:r w:rsidRPr="00D578CC">
        <w:rPr>
          <w:rFonts w:ascii="Times New Roman" w:hAnsi="Times New Roman" w:cs="Times New Roman"/>
          <w:sz w:val="24"/>
          <w:szCs w:val="24"/>
        </w:rPr>
        <w:t xml:space="preserve"> The Philippines therefore needed to craft its submissions to fit within UNCLOS’ jurisdictional envelope: no claims to territorial sovereignty and no maritime delimitation.</w:t>
      </w:r>
    </w:p>
    <w:p w:rsidR="00E83779"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Instead, its pleadings focused on three strands: the status of features (as islands, rocks, or low</w:t>
      </w:r>
      <w:r w:rsidRPr="00D578CC">
        <w:rPr>
          <w:rFonts w:ascii="Times New Roman" w:hAnsi="Times New Roman" w:cs="Times New Roman"/>
          <w:sz w:val="24"/>
          <w:szCs w:val="24"/>
        </w:rPr>
        <w:noBreakHyphen/>
        <w:t>tide elevations), the maritime entitlements those features could lawfully generate, and breaches of environmental obligations.</w:t>
      </w:r>
      <w:r w:rsidRPr="00D578CC">
        <w:rPr>
          <w:rStyle w:val="FootnoteReference"/>
          <w:rFonts w:ascii="Times New Roman" w:hAnsi="Times New Roman" w:cs="Times New Roman"/>
          <w:sz w:val="24"/>
          <w:szCs w:val="24"/>
        </w:rPr>
        <w:footnoteReference w:id="10"/>
      </w:r>
      <w:r w:rsidRPr="00D578CC">
        <w:rPr>
          <w:rFonts w:ascii="Times New Roman" w:hAnsi="Times New Roman" w:cs="Times New Roman"/>
          <w:sz w:val="24"/>
          <w:szCs w:val="24"/>
        </w:rPr>
        <w:t xml:space="preserve"> That framing enabled the arbitral tribunal to proceed notwithstanding China’s non</w:t>
      </w:r>
      <w:r w:rsidRPr="00D578CC">
        <w:rPr>
          <w:rFonts w:ascii="Times New Roman" w:hAnsi="Times New Roman" w:cs="Times New Roman"/>
          <w:sz w:val="24"/>
          <w:szCs w:val="24"/>
        </w:rPr>
        <w:noBreakHyphen/>
        <w:t xml:space="preserve">participation.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By inviting the tribunal to interpret and apply the Convention’s text—on the status of maritime features, the limits of those features’ entitlements, and the duty to protect the marine environment—the Philippines navigated jurisdictional obstacles and transformed the dispute from geopolitical to legal. </w:t>
      </w:r>
    </w:p>
    <w:p w:rsidR="00E83779"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The outcome of that case shows how international law can create political leverage. The arbitral tribunal held that China’s claims to “historic rights” or other sweeping assertions of jurisdiction within the</w:t>
      </w:r>
      <w:r w:rsidR="00E83779">
        <w:rPr>
          <w:rFonts w:ascii="Times New Roman" w:hAnsi="Times New Roman" w:cs="Times New Roman"/>
          <w:sz w:val="24"/>
          <w:szCs w:val="24"/>
        </w:rPr>
        <w:t xml:space="preserve"> so-called</w:t>
      </w:r>
      <w:r w:rsidRPr="00D578CC">
        <w:rPr>
          <w:rFonts w:ascii="Times New Roman" w:hAnsi="Times New Roman" w:cs="Times New Roman"/>
          <w:sz w:val="24"/>
          <w:szCs w:val="24"/>
        </w:rPr>
        <w:t xml:space="preserve"> “nine-dashed line” could not stand.</w:t>
      </w:r>
      <w:r w:rsidRPr="00D578CC">
        <w:rPr>
          <w:rStyle w:val="FootnoteReference"/>
          <w:rFonts w:ascii="Times New Roman" w:hAnsi="Times New Roman" w:cs="Times New Roman"/>
          <w:sz w:val="24"/>
          <w:szCs w:val="24"/>
        </w:rPr>
        <w:footnoteReference w:id="11"/>
      </w:r>
      <w:r w:rsidRPr="00D578CC">
        <w:rPr>
          <w:rFonts w:ascii="Times New Roman" w:hAnsi="Times New Roman" w:cs="Times New Roman"/>
          <w:sz w:val="24"/>
          <w:szCs w:val="24"/>
        </w:rPr>
        <w:t xml:space="preserve"> UNCLOS is comprehensive: once a State joins, its rights and obligations are found in the treaty’s text—not in indeterminate historic claims. </w:t>
      </w:r>
    </w:p>
    <w:p w:rsidR="00E83779"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Applying the regime of islands, the tribunal concluded that none of the features at issue could generate an Exclusive Economic Zone (“</w:t>
      </w:r>
      <w:r w:rsidRPr="00D578CC">
        <w:rPr>
          <w:rFonts w:ascii="Times New Roman" w:hAnsi="Times New Roman" w:cs="Times New Roman"/>
          <w:b/>
          <w:bCs/>
          <w:sz w:val="24"/>
          <w:szCs w:val="24"/>
        </w:rPr>
        <w:t>EEZ</w:t>
      </w:r>
      <w:r w:rsidRPr="00D578CC">
        <w:rPr>
          <w:rFonts w:ascii="Times New Roman" w:hAnsi="Times New Roman" w:cs="Times New Roman"/>
          <w:sz w:val="24"/>
          <w:szCs w:val="24"/>
        </w:rPr>
        <w:t>”) or continental shelf beyond a territorial sea.</w:t>
      </w:r>
      <w:r w:rsidRPr="00D578CC">
        <w:rPr>
          <w:rStyle w:val="FootnoteReference"/>
          <w:rFonts w:ascii="Times New Roman" w:hAnsi="Times New Roman" w:cs="Times New Roman"/>
          <w:sz w:val="24"/>
          <w:szCs w:val="24"/>
        </w:rPr>
        <w:footnoteReference w:id="12"/>
      </w:r>
      <w:r w:rsidRPr="00D578CC">
        <w:rPr>
          <w:rFonts w:ascii="Times New Roman" w:hAnsi="Times New Roman" w:cs="Times New Roman"/>
          <w:sz w:val="24"/>
          <w:szCs w:val="24"/>
        </w:rPr>
        <w:t xml:space="preserve"> In doing so, it looked to the capacity of features in their natural state, not to enhancements engineered to inflate entitlements. Critically for the Philippines, this confirmed where there was no lawful overlap with its own EEZ and continental shelf, even if China could validly lay sovereignty claims to those features. </w:t>
      </w:r>
    </w:p>
    <w:p w:rsidRPr="00D578CC" w:rsidR="00D578CC" w:rsidP="00D578CC" w:rsidRDefault="00D578CC">
      <w:pPr>
        <w:spacing w:line="276" w:lineRule="auto"/>
        <w:ind w:firstLine="720"/>
        <w:rPr>
          <w:rFonts w:ascii="Times New Roman" w:hAnsi="Times New Roman" w:cs="Times New Roman"/>
          <w:sz w:val="24"/>
          <w:szCs w:val="24"/>
        </w:rPr>
      </w:pPr>
      <w:r w:rsidRPr="00E83779">
        <w:rPr>
          <w:rFonts w:ascii="Times New Roman" w:hAnsi="Times New Roman" w:cs="Times New Roman"/>
          <w:i/>
          <w:iCs/>
          <w:sz w:val="24"/>
          <w:szCs w:val="24"/>
        </w:rPr>
        <w:t>Finally</w:t>
      </w:r>
      <w:r w:rsidRPr="00D578CC">
        <w:rPr>
          <w:rFonts w:ascii="Times New Roman" w:hAnsi="Times New Roman" w:cs="Times New Roman"/>
          <w:sz w:val="24"/>
          <w:szCs w:val="24"/>
        </w:rPr>
        <w:t xml:space="preserve">, the tribunal gave concrete content to environmental obligations. It read the Convention’s provisions as imposing duties of due diligence, environmental impact assessment, and prevention of harm, and it found the large-scale dredging and island construction to </w:t>
      </w:r>
      <w:proofErr w:type="gramStart"/>
      <w:r w:rsidRPr="00D578CC">
        <w:rPr>
          <w:rFonts w:ascii="Times New Roman" w:hAnsi="Times New Roman" w:cs="Times New Roman"/>
          <w:sz w:val="24"/>
          <w:szCs w:val="24"/>
        </w:rPr>
        <w:t>be in</w:t>
      </w:r>
      <w:proofErr w:type="gramEnd"/>
      <w:r w:rsidRPr="00D578CC">
        <w:rPr>
          <w:rFonts w:ascii="Times New Roman" w:hAnsi="Times New Roman" w:cs="Times New Roman"/>
          <w:sz w:val="24"/>
          <w:szCs w:val="24"/>
        </w:rPr>
        <w:t xml:space="preserve"> violation of UNCLOS.</w:t>
      </w:r>
      <w:r w:rsidRPr="00D578CC">
        <w:rPr>
          <w:rStyle w:val="FootnoteReference"/>
          <w:rFonts w:ascii="Times New Roman" w:hAnsi="Times New Roman" w:cs="Times New Roman"/>
          <w:sz w:val="24"/>
          <w:szCs w:val="24"/>
        </w:rPr>
        <w:footnoteReference w:id="13"/>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These holdings supplied the Philippines with authoritative determinations about its rights, reinforced expectations for State conduct in the region, and catalyzed broader international support. They also demonstrated that non-participation by a powerful State does not absolve it from the law. For small nations, the lesson is clear: a legally sound case can clarify rights—even in the shadow of great power politics.</w:t>
      </w:r>
    </w:p>
    <w:p w:rsidR="00397015"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To capture this point, Counsel for the Philippines placed a simple map on the screen: </w:t>
      </w:r>
    </w:p>
    <w:p w:rsidR="00397015" w:rsidP="00397015" w:rsidRDefault="00397015">
      <w:pPr>
        <w:rPr>
          <w:rFonts w:ascii="Times New Roman" w:hAnsi="Times New Roman" w:eastAsia="Aptos" w:cs="Times New Roman"/>
        </w:rPr>
      </w:pPr>
      <w:r w:rsidRPr="005F4BE8">
        <w:rPr>
          <w:rFonts w:ascii="Times New Roman" w:hAnsi="Times New Roman" w:eastAsia="Aptos" w:cs="Times New Roman"/>
          <w:b/>
          <w:bCs/>
          <w:noProof/>
          <w:highlight w:val="yellow"/>
        </w:rPr>
        <w:drawing>
          <wp:inline distT="0" distB="0" distL="0" distR="0" wp14:anchorId="10192A48" wp14:editId="270B3ACF">
            <wp:extent cx="5943600" cy="3342640"/>
            <wp:effectExtent l="0" t="0" r="0" b="0"/>
            <wp:docPr id="134" name="Figure 7-0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e 7-01.png" descr="A map of the world&#10;&#10;AI-generated content may be incorrect."/>
                    <pic:cNvPicPr>
                      <a:picLocks noChangeAspect="1"/>
                    </pic:cNvPicPr>
                  </pic:nvPicPr>
                  <pic:blipFill>
                    <a:blip r:embed="rId9"/>
                    <a:stretch>
                      <a:fillRect/>
                    </a:stretch>
                  </pic:blipFill>
                  <pic:spPr>
                    <a:xfrm>
                      <a:off x="0" y="0"/>
                      <a:ext cx="5943600" cy="3342640"/>
                    </a:xfrm>
                    <a:prstGeom prst="rect">
                      <a:avLst/>
                    </a:prstGeom>
                    <a:ln w="12700">
                      <a:miter lim="400000"/>
                    </a:ln>
                  </pic:spPr>
                </pic:pic>
              </a:graphicData>
            </a:graphic>
          </wp:inline>
        </w:drawing>
      </w:r>
    </w:p>
    <w:p w:rsidRPr="000D76CA" w:rsidR="00397015" w:rsidP="000D76CA" w:rsidRDefault="00397015">
      <w:pPr>
        <w:jc w:val="center"/>
        <w:rPr>
          <w:rFonts w:ascii="Times New Roman" w:hAnsi="Times New Roman" w:eastAsia="Aptos" w:cs="Times New Roman"/>
          <w:sz w:val="20"/>
          <w:szCs w:val="20"/>
        </w:rPr>
      </w:pPr>
      <w:r>
        <w:rPr>
          <w:rFonts w:ascii="Times New Roman" w:hAnsi="Times New Roman" w:eastAsia="Aptos" w:cs="Times New Roman"/>
          <w:sz w:val="20"/>
          <w:szCs w:val="20"/>
        </w:rPr>
        <w:t>Image Presented during Oral Hearing before the Arbitral Tribunal</w:t>
      </w:r>
    </w:p>
    <w:p w:rsidR="00D578CC" w:rsidP="00D578CC" w:rsidRDefault="00397015">
      <w:pPr>
        <w:spacing w:line="276" w:lineRule="auto"/>
        <w:ind w:firstLine="720"/>
        <w:rPr>
          <w:rFonts w:ascii="Times New Roman" w:hAnsi="Times New Roman" w:cs="Times New Roman"/>
          <w:sz w:val="24"/>
          <w:szCs w:val="24"/>
        </w:rPr>
      </w:pPr>
      <w:r>
        <w:rPr>
          <w:rFonts w:ascii="Times New Roman" w:hAnsi="Times New Roman" w:cs="Times New Roman"/>
          <w:sz w:val="24"/>
          <w:szCs w:val="24"/>
        </w:rPr>
        <w:t>T</w:t>
      </w:r>
      <w:r w:rsidRPr="00D578CC" w:rsidR="00D578CC">
        <w:rPr>
          <w:rFonts w:ascii="Times New Roman" w:hAnsi="Times New Roman" w:cs="Times New Roman"/>
          <w:sz w:val="24"/>
          <w:szCs w:val="24"/>
        </w:rPr>
        <w:t xml:space="preserve">he </w:t>
      </w:r>
      <w:r>
        <w:rPr>
          <w:rFonts w:ascii="Times New Roman" w:hAnsi="Times New Roman" w:cs="Times New Roman"/>
          <w:sz w:val="24"/>
          <w:szCs w:val="24"/>
        </w:rPr>
        <w:t xml:space="preserve">map shows </w:t>
      </w:r>
      <w:r w:rsidRPr="00D578CC" w:rsidR="00D578CC">
        <w:rPr>
          <w:rFonts w:ascii="Times New Roman" w:hAnsi="Times New Roman" w:cs="Times New Roman"/>
          <w:sz w:val="24"/>
          <w:szCs w:val="24"/>
        </w:rPr>
        <w:t>Philippines’ coastline, a 200</w:t>
      </w:r>
      <w:r w:rsidRPr="00D578CC" w:rsidR="00D578CC">
        <w:rPr>
          <w:rFonts w:ascii="Times New Roman" w:hAnsi="Times New Roman" w:cs="Times New Roman"/>
          <w:sz w:val="24"/>
          <w:szCs w:val="24"/>
        </w:rPr>
        <w:noBreakHyphen/>
        <w:t>nautical</w:t>
      </w:r>
      <w:r w:rsidRPr="00D578CC" w:rsidR="00D578CC">
        <w:rPr>
          <w:rFonts w:ascii="Times New Roman" w:hAnsi="Times New Roman" w:cs="Times New Roman"/>
          <w:sz w:val="24"/>
          <w:szCs w:val="24"/>
        </w:rPr>
        <w:noBreakHyphen/>
        <w:t>mile arc marking its EEZ, and, overlaid, the locations of the features claimed by China which the tribunal later classified as rocks or low</w:t>
      </w:r>
      <w:r w:rsidRPr="00D578CC" w:rsidR="00D578CC">
        <w:rPr>
          <w:rFonts w:ascii="Times New Roman" w:hAnsi="Times New Roman" w:cs="Times New Roman"/>
          <w:sz w:val="24"/>
          <w:szCs w:val="24"/>
        </w:rPr>
        <w:noBreakHyphen/>
        <w:t>tide elevations, thus incapable of generating maritime entitlements beyond a territorial sea. The visual did what pages of argument could not: it showed there were extremely limited overlaps between the maritime zones</w:t>
      </w:r>
      <w:r>
        <w:rPr>
          <w:rFonts w:ascii="Times New Roman" w:hAnsi="Times New Roman" w:cs="Times New Roman"/>
          <w:sz w:val="24"/>
          <w:szCs w:val="24"/>
        </w:rPr>
        <w:t xml:space="preserve">, </w:t>
      </w:r>
      <w:r w:rsidRPr="00D578CC" w:rsidR="00D578CC">
        <w:rPr>
          <w:rFonts w:ascii="Times New Roman" w:hAnsi="Times New Roman" w:cs="Times New Roman"/>
          <w:sz w:val="24"/>
          <w:szCs w:val="24"/>
        </w:rPr>
        <w:t>if any</w:t>
      </w:r>
      <w:r>
        <w:rPr>
          <w:rFonts w:ascii="Times New Roman" w:hAnsi="Times New Roman" w:cs="Times New Roman"/>
          <w:sz w:val="24"/>
          <w:szCs w:val="24"/>
        </w:rPr>
        <w:t>,</w:t>
      </w:r>
      <w:r w:rsidRPr="00D578CC" w:rsidR="00D578CC">
        <w:rPr>
          <w:rFonts w:ascii="Times New Roman" w:hAnsi="Times New Roman" w:cs="Times New Roman"/>
          <w:sz w:val="24"/>
          <w:szCs w:val="24"/>
        </w:rPr>
        <w:t xml:space="preserve"> generated by the features China claimed and the Philippines’ EEZ. Outside those overlapping maritime areas, China’s interferences with the Philippines’ rights in its EEZ were plainly unlawful. Evidence, put to work in the right forum, did the heavy lifting. </w:t>
      </w:r>
    </w:p>
    <w:p w:rsidRPr="00D578CC" w:rsidR="00397015" w:rsidP="000D76CA" w:rsidRDefault="00397015">
      <w:pPr>
        <w:pStyle w:val="Style1"/>
      </w:pPr>
      <w:r>
        <w:t xml:space="preserve">Mauritius’ campaign to end the United Kingdom’s unlawful excision of the Chagos Archipelago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Turning to the second case study</w:t>
      </w:r>
      <w:r w:rsidRPr="00397015">
        <w:rPr>
          <w:rFonts w:ascii="Times New Roman" w:hAnsi="Times New Roman" w:cs="Times New Roman"/>
          <w:sz w:val="24"/>
          <w:szCs w:val="24"/>
        </w:rPr>
        <w:t>,</w:t>
      </w:r>
      <w:r w:rsidRPr="00D578CC">
        <w:rPr>
          <w:rFonts w:ascii="Times New Roman" w:hAnsi="Times New Roman" w:cs="Times New Roman"/>
          <w:sz w:val="24"/>
          <w:szCs w:val="24"/>
        </w:rPr>
        <w:t xml:space="preserve"> the </w:t>
      </w:r>
      <w:r w:rsidR="00397015">
        <w:rPr>
          <w:rFonts w:ascii="Times New Roman" w:hAnsi="Times New Roman" w:cs="Times New Roman"/>
          <w:sz w:val="24"/>
          <w:szCs w:val="24"/>
        </w:rPr>
        <w:t>UK</w:t>
      </w:r>
      <w:r w:rsidRPr="00D578CC">
        <w:rPr>
          <w:rFonts w:ascii="Times New Roman" w:hAnsi="Times New Roman" w:cs="Times New Roman"/>
          <w:sz w:val="24"/>
          <w:szCs w:val="24"/>
        </w:rPr>
        <w:t xml:space="preserve"> and Mauritius</w:t>
      </w:r>
      <w:r w:rsidR="00397015">
        <w:rPr>
          <w:rFonts w:ascii="Times New Roman" w:hAnsi="Times New Roman" w:cs="Times New Roman"/>
          <w:sz w:val="24"/>
          <w:szCs w:val="24"/>
        </w:rPr>
        <w:t>’</w:t>
      </w:r>
      <w:r w:rsidRPr="00D578CC">
        <w:rPr>
          <w:rFonts w:ascii="Times New Roman" w:hAnsi="Times New Roman" w:cs="Times New Roman"/>
          <w:sz w:val="24"/>
          <w:szCs w:val="24"/>
        </w:rPr>
        <w:t xml:space="preserve"> longstanding sovereignty dispute over the Chagos Archipelago. In 1965, as Mauritius was moving toward independence from the UK, Britain detached the Chagos Archipelago from Mauritius to form the so-called “British Indian Ocean Territory” </w:t>
      </w:r>
      <w:r w:rsidR="000D76CA">
        <w:rPr>
          <w:rFonts w:ascii="Times New Roman" w:hAnsi="Times New Roman" w:cs="Times New Roman"/>
          <w:sz w:val="24"/>
          <w:szCs w:val="24"/>
        </w:rPr>
        <w:t xml:space="preserve">or </w:t>
      </w:r>
      <w:r w:rsidR="00397015">
        <w:rPr>
          <w:rFonts w:ascii="Times New Roman" w:hAnsi="Times New Roman" w:cs="Times New Roman"/>
          <w:sz w:val="24"/>
          <w:szCs w:val="24"/>
        </w:rPr>
        <w:t>“</w:t>
      </w:r>
      <w:r w:rsidRPr="000D76CA">
        <w:rPr>
          <w:rFonts w:ascii="Times New Roman" w:hAnsi="Times New Roman" w:cs="Times New Roman"/>
          <w:sz w:val="24"/>
          <w:szCs w:val="24"/>
        </w:rPr>
        <w:t>BIOT</w:t>
      </w:r>
      <w:r w:rsidRPr="00D578CC">
        <w:rPr>
          <w:rFonts w:ascii="Times New Roman" w:hAnsi="Times New Roman" w:cs="Times New Roman"/>
          <w:sz w:val="24"/>
          <w:szCs w:val="24"/>
        </w:rPr>
        <w:t>”</w:t>
      </w:r>
      <w:r w:rsidR="00397015">
        <w:rPr>
          <w:rFonts w:ascii="Times New Roman" w:hAnsi="Times New Roman" w:cs="Times New Roman"/>
          <w:sz w:val="24"/>
          <w:szCs w:val="24"/>
        </w:rPr>
        <w:t>.</w:t>
      </w:r>
      <w:r w:rsidRPr="00D578CC">
        <w:rPr>
          <w:rFonts w:ascii="Times New Roman" w:hAnsi="Times New Roman" w:cs="Times New Roman"/>
          <w:sz w:val="24"/>
          <w:szCs w:val="24"/>
        </w:rPr>
        <w:t xml:space="preserve"> The UK then expelled the </w:t>
      </w:r>
      <w:proofErr w:type="spellStart"/>
      <w:r w:rsidRPr="00D578CC">
        <w:rPr>
          <w:rFonts w:ascii="Times New Roman" w:hAnsi="Times New Roman" w:cs="Times New Roman"/>
          <w:sz w:val="24"/>
          <w:szCs w:val="24"/>
        </w:rPr>
        <w:t>Chagossian</w:t>
      </w:r>
      <w:proofErr w:type="spellEnd"/>
      <w:r w:rsidRPr="00D578CC">
        <w:rPr>
          <w:rFonts w:ascii="Times New Roman" w:hAnsi="Times New Roman" w:cs="Times New Roman"/>
          <w:sz w:val="24"/>
          <w:szCs w:val="24"/>
        </w:rPr>
        <w:t xml:space="preserve"> population between 1967 and 1973 to make way for a joint UK-US military base on Diego Garcia, the largest island in the archipelago.</w:t>
      </w:r>
      <w:r w:rsidRPr="00D578CC">
        <w:rPr>
          <w:rStyle w:val="FootnoteReference"/>
          <w:rFonts w:ascii="Times New Roman" w:hAnsi="Times New Roman" w:cs="Times New Roman"/>
          <w:sz w:val="24"/>
          <w:szCs w:val="24"/>
        </w:rPr>
        <w:footnoteReference w:id="14"/>
      </w:r>
      <w:r w:rsidRPr="00D578CC">
        <w:rPr>
          <w:rFonts w:ascii="Times New Roman" w:hAnsi="Times New Roman" w:cs="Times New Roman"/>
          <w:sz w:val="24"/>
          <w:szCs w:val="24"/>
        </w:rPr>
        <w:t xml:space="preserve"> Mauritius has consistently claimed that the excision was illegal and that the Chagos Archipelago is part of its territory. The UK maintained control, arguing that the detachment was lawful and necessary for defense purposes.</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Mauritius’ long struggle to vindicate its sovereignty over the Chagos Archipelago shows that a small nation, armed with the law and strategic patience, can marshal international law to profound effect. By sequencing proceedings across carefully chosen fora—each selected for its competence and leverage—Mauritius transformed a complex, politically charged dispute into a series of reinforcing legal determinations, culminating in the UK’s agreement to return Chagos Archipelago to Mauritius just last year.</w:t>
      </w:r>
      <w:r w:rsidRPr="00D578CC">
        <w:rPr>
          <w:rStyle w:val="FootnoteReference"/>
          <w:rFonts w:ascii="Times New Roman" w:hAnsi="Times New Roman" w:cs="Times New Roman"/>
          <w:sz w:val="24"/>
          <w:szCs w:val="24"/>
        </w:rPr>
        <w:footnoteReference w:id="15"/>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Mauritius first initiated an arbitration under UNCLOS in 2010, challenging a maritime protected area unilaterally proclaimed by the United Kingdom around the Chagos Archipelago.</w:t>
      </w:r>
      <w:r w:rsidRPr="00D578CC">
        <w:rPr>
          <w:rStyle w:val="FootnoteReference"/>
          <w:rFonts w:ascii="Times New Roman" w:hAnsi="Times New Roman" w:cs="Times New Roman"/>
          <w:sz w:val="24"/>
          <w:szCs w:val="24"/>
        </w:rPr>
        <w:footnoteReference w:id="16"/>
      </w:r>
      <w:r w:rsidRPr="00D578CC">
        <w:rPr>
          <w:rFonts w:ascii="Times New Roman" w:hAnsi="Times New Roman" w:cs="Times New Roman"/>
          <w:sz w:val="24"/>
          <w:szCs w:val="24"/>
        </w:rPr>
        <w:t xml:space="preserve"> That tribunal found that marine protected area unlawful on multiple grounds, including lack of due regard to Mauritius’ rights and bad faith in the proclamation process. While the tribunal could not address sovereignty—an issue beyond the Convention’s scope—the award nonetheless exposed legal fault lines in the UK’s posture and set the stage for the next move.</w:t>
      </w:r>
      <w:r w:rsidRPr="00D578CC">
        <w:rPr>
          <w:rStyle w:val="FootnoteReference"/>
          <w:rFonts w:ascii="Times New Roman" w:hAnsi="Times New Roman" w:cs="Times New Roman"/>
          <w:sz w:val="24"/>
          <w:szCs w:val="24"/>
        </w:rPr>
        <w:footnoteReference w:id="17"/>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Mauritius then led a resolution in the United Nations </w:t>
      </w:r>
      <w:r w:rsidR="00397015">
        <w:rPr>
          <w:rFonts w:ascii="Times New Roman" w:hAnsi="Times New Roman" w:cs="Times New Roman"/>
          <w:sz w:val="24"/>
          <w:szCs w:val="24"/>
        </w:rPr>
        <w:t>(“</w:t>
      </w:r>
      <w:r w:rsidRPr="000D76CA" w:rsidR="00397015">
        <w:rPr>
          <w:rFonts w:ascii="Times New Roman" w:hAnsi="Times New Roman" w:cs="Times New Roman"/>
          <w:b/>
          <w:bCs/>
          <w:sz w:val="24"/>
          <w:szCs w:val="24"/>
        </w:rPr>
        <w:t>UN</w:t>
      </w:r>
      <w:r w:rsidR="00397015">
        <w:rPr>
          <w:rFonts w:ascii="Times New Roman" w:hAnsi="Times New Roman" w:cs="Times New Roman"/>
          <w:sz w:val="24"/>
          <w:szCs w:val="24"/>
        </w:rPr>
        <w:t xml:space="preserve">”) </w:t>
      </w:r>
      <w:r w:rsidRPr="00D578CC">
        <w:rPr>
          <w:rFonts w:ascii="Times New Roman" w:hAnsi="Times New Roman" w:cs="Times New Roman"/>
          <w:sz w:val="24"/>
          <w:szCs w:val="24"/>
        </w:rPr>
        <w:t xml:space="preserve">General </w:t>
      </w:r>
      <w:proofErr w:type="gramStart"/>
      <w:r w:rsidRPr="00D578CC">
        <w:rPr>
          <w:rFonts w:ascii="Times New Roman" w:hAnsi="Times New Roman" w:cs="Times New Roman"/>
          <w:sz w:val="24"/>
          <w:szCs w:val="24"/>
        </w:rPr>
        <w:t>Assembly  in</w:t>
      </w:r>
      <w:proofErr w:type="gramEnd"/>
      <w:r w:rsidRPr="00D578CC">
        <w:rPr>
          <w:rFonts w:ascii="Times New Roman" w:hAnsi="Times New Roman" w:cs="Times New Roman"/>
          <w:sz w:val="24"/>
          <w:szCs w:val="24"/>
        </w:rPr>
        <w:t xml:space="preserve"> 2017 requesting an Advisory Opinion from the </w:t>
      </w:r>
      <w:r w:rsidR="00397015">
        <w:rPr>
          <w:rFonts w:ascii="Times New Roman" w:hAnsi="Times New Roman" w:cs="Times New Roman"/>
          <w:sz w:val="24"/>
          <w:szCs w:val="24"/>
        </w:rPr>
        <w:t>ICJ</w:t>
      </w:r>
      <w:r w:rsidRPr="00D578CC">
        <w:rPr>
          <w:rFonts w:ascii="Times New Roman" w:hAnsi="Times New Roman" w:cs="Times New Roman"/>
          <w:sz w:val="24"/>
          <w:szCs w:val="24"/>
        </w:rPr>
        <w:t xml:space="preserve"> on the Chagos Archipelago.</w:t>
      </w:r>
      <w:r w:rsidRPr="00D578CC">
        <w:rPr>
          <w:rStyle w:val="FootnoteReference"/>
          <w:rFonts w:ascii="Times New Roman" w:hAnsi="Times New Roman" w:cs="Times New Roman"/>
          <w:sz w:val="24"/>
          <w:szCs w:val="24"/>
        </w:rPr>
        <w:footnoteReference w:id="18"/>
      </w:r>
      <w:r w:rsidRPr="00D578CC">
        <w:rPr>
          <w:rFonts w:ascii="Times New Roman" w:hAnsi="Times New Roman" w:cs="Times New Roman"/>
          <w:sz w:val="24"/>
          <w:szCs w:val="24"/>
        </w:rPr>
        <w:t xml:space="preserve"> Strategically, Mauritius did not frame the question as one of territorial title, but of decolonization. The questions put to the Court where whether the decolonization process was lawfully completed when the UK excised the Chagos Archipelago from Mauritius in 1965 and, if so, what the legal consequences flowing from that were.</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In its historic 2019 opinion, the Court concluded that decolonization had not been lawfully completed, that the UK was obligated to return the archipelago forthwith, and that third States were prohibited from aiding and abetting the UK in its unlawful conduct.</w:t>
      </w:r>
      <w:r w:rsidRPr="00D578CC">
        <w:rPr>
          <w:rStyle w:val="FootnoteReference"/>
          <w:rFonts w:ascii="Times New Roman" w:hAnsi="Times New Roman" w:cs="Times New Roman"/>
          <w:sz w:val="24"/>
          <w:szCs w:val="24"/>
        </w:rPr>
        <w:footnoteReference w:id="19"/>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Taking the opinion, Mauritius spearheaded an initiative of the </w:t>
      </w:r>
      <w:r w:rsidR="00397015">
        <w:rPr>
          <w:rFonts w:ascii="Times New Roman" w:hAnsi="Times New Roman" w:cs="Times New Roman"/>
          <w:sz w:val="24"/>
          <w:szCs w:val="24"/>
        </w:rPr>
        <w:t xml:space="preserve">UN </w:t>
      </w:r>
      <w:r w:rsidRPr="00D578CC">
        <w:rPr>
          <w:rFonts w:ascii="Times New Roman" w:hAnsi="Times New Roman" w:cs="Times New Roman"/>
          <w:sz w:val="24"/>
          <w:szCs w:val="24"/>
        </w:rPr>
        <w:t>General Assembly to implement the opinion in the form of a resolution calling for compliance.</w:t>
      </w:r>
      <w:r w:rsidRPr="00D578CC">
        <w:rPr>
          <w:rStyle w:val="FootnoteReference"/>
          <w:rFonts w:ascii="Times New Roman" w:hAnsi="Times New Roman" w:cs="Times New Roman"/>
          <w:sz w:val="24"/>
          <w:szCs w:val="24"/>
        </w:rPr>
        <w:footnoteReference w:id="20"/>
      </w:r>
      <w:r w:rsidRPr="00D578CC">
        <w:rPr>
          <w:rFonts w:ascii="Times New Roman" w:hAnsi="Times New Roman" w:cs="Times New Roman"/>
          <w:sz w:val="24"/>
          <w:szCs w:val="24"/>
        </w:rPr>
        <w:t xml:space="preserve"> In so doing, Mauritius converted legal principle into political momentum. The resolution amplified its voice and broadened support.</w:t>
      </w:r>
      <w:r w:rsidRPr="00D578CC">
        <w:rPr>
          <w:rStyle w:val="FootnoteReference"/>
          <w:rFonts w:ascii="Times New Roman" w:hAnsi="Times New Roman" w:cs="Times New Roman"/>
          <w:sz w:val="24"/>
          <w:szCs w:val="24"/>
        </w:rPr>
        <w:t xml:space="preserve"> </w:t>
      </w:r>
      <w:r w:rsidRPr="00D578CC">
        <w:rPr>
          <w:rStyle w:val="FootnoteReference"/>
          <w:rFonts w:ascii="Times New Roman" w:hAnsi="Times New Roman" w:cs="Times New Roman"/>
          <w:sz w:val="24"/>
          <w:szCs w:val="24"/>
        </w:rPr>
        <w:footnoteReference w:id="21"/>
      </w:r>
      <w:r w:rsidRPr="00D578CC">
        <w:rPr>
          <w:rFonts w:ascii="Times New Roman" w:hAnsi="Times New Roman" w:cs="Times New Roman"/>
          <w:sz w:val="24"/>
          <w:szCs w:val="24"/>
        </w:rPr>
        <w:t xml:space="preserve"> While advisory opinions are not legally binding, they carry significant authority, even more so when implemented in the form of a resolution. They invite global participation; they clarify legal principles; and they catalyze follow-on action. For Mauritius, it was a powerful cumulative step. </w:t>
      </w:r>
    </w:p>
    <w:p w:rsidR="00397015"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Mauritius subsequently proceeded to </w:t>
      </w:r>
      <w:r w:rsidR="00397015">
        <w:rPr>
          <w:rFonts w:ascii="Times New Roman" w:hAnsi="Times New Roman" w:cs="Times New Roman"/>
          <w:sz w:val="24"/>
          <w:szCs w:val="24"/>
        </w:rPr>
        <w:t>ITLOS</w:t>
      </w:r>
      <w:r w:rsidRPr="00D578CC">
        <w:rPr>
          <w:rFonts w:ascii="Times New Roman" w:hAnsi="Times New Roman" w:cs="Times New Roman"/>
          <w:sz w:val="24"/>
          <w:szCs w:val="24"/>
        </w:rPr>
        <w:t xml:space="preserve"> to delimit its maritime boundaries with the Maldives.</w:t>
      </w:r>
      <w:r w:rsidRPr="00D578CC">
        <w:rPr>
          <w:rStyle w:val="FootnoteReference"/>
          <w:rFonts w:ascii="Times New Roman" w:hAnsi="Times New Roman" w:cs="Times New Roman"/>
          <w:sz w:val="24"/>
          <w:szCs w:val="24"/>
        </w:rPr>
        <w:footnoteReference w:id="22"/>
      </w:r>
      <w:r w:rsidRPr="00D578CC">
        <w:rPr>
          <w:rFonts w:ascii="Times New Roman" w:hAnsi="Times New Roman" w:cs="Times New Roman"/>
          <w:sz w:val="24"/>
          <w:szCs w:val="24"/>
        </w:rPr>
        <w:t xml:space="preserve"> </w:t>
      </w:r>
    </w:p>
    <w:p w:rsidR="00397015" w:rsidP="00397015" w:rsidRDefault="00397015">
      <w:pPr>
        <w:rPr>
          <w:rFonts w:ascii="Times New Roman" w:hAnsi="Times New Roman" w:eastAsia="Aptos" w:cs="Times New Roman"/>
          <w:b/>
          <w:bCs/>
        </w:rPr>
      </w:pPr>
      <w:r>
        <w:rPr>
          <w:noProof/>
          <w14:ligatures w14:val="none"/>
        </w:rPr>
        <w:drawing>
          <wp:inline distT="0" distB="0" distL="0" distR="0" wp14:anchorId="41FB3509" wp14:editId="5D2E6665">
            <wp:extent cx="5842000" cy="3286124"/>
            <wp:effectExtent l="0" t="0" r="6350" b="0"/>
            <wp:docPr id="1590055281" name="Graphic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528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871995" cy="3302996"/>
                    </a:xfrm>
                    <a:prstGeom prst="rect">
                      <a:avLst/>
                    </a:prstGeom>
                  </pic:spPr>
                </pic:pic>
              </a:graphicData>
            </a:graphic>
          </wp:inline>
        </w:drawing>
      </w:r>
    </w:p>
    <w:p w:rsidRPr="000D76CA" w:rsidR="00397015" w:rsidP="000D76CA" w:rsidRDefault="00397015">
      <w:pPr>
        <w:jc w:val="center"/>
        <w:rPr>
          <w:rFonts w:ascii="Times New Roman" w:hAnsi="Times New Roman" w:eastAsia="Aptos" w:cs="Times New Roman"/>
          <w:sz w:val="20"/>
          <w:szCs w:val="20"/>
        </w:rPr>
      </w:pPr>
      <w:r>
        <w:rPr>
          <w:rFonts w:ascii="Times New Roman" w:hAnsi="Times New Roman" w:eastAsia="Aptos" w:cs="Times New Roman"/>
          <w:sz w:val="20"/>
          <w:szCs w:val="20"/>
        </w:rPr>
        <w:t>Image Presented during Oral Hearing before ITLOS</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As the map</w:t>
      </w:r>
      <w:r w:rsidR="00397015">
        <w:rPr>
          <w:rFonts w:ascii="Times New Roman" w:hAnsi="Times New Roman" w:cs="Times New Roman"/>
          <w:sz w:val="24"/>
          <w:szCs w:val="24"/>
        </w:rPr>
        <w:t xml:space="preserve"> illustrates</w:t>
      </w:r>
      <w:r w:rsidRPr="00D578CC">
        <w:rPr>
          <w:rFonts w:ascii="Times New Roman" w:hAnsi="Times New Roman" w:cs="Times New Roman"/>
          <w:sz w:val="24"/>
          <w:szCs w:val="24"/>
        </w:rPr>
        <w:t xml:space="preserve">, the distance between Mauritius and the Maldives means that there could be no overlapping maritime entitlements without the Chagos Archipelago. The strategy was to use this maritime delimitation proceeding to confirm before another tribunal that Mauritius had sovereignty over the archipelago. In other words, the aim was to persuade </w:t>
      </w:r>
      <w:r w:rsidR="00397015">
        <w:rPr>
          <w:rFonts w:ascii="Times New Roman" w:hAnsi="Times New Roman" w:cs="Times New Roman"/>
          <w:sz w:val="24"/>
          <w:szCs w:val="24"/>
        </w:rPr>
        <w:t>the Tribunal</w:t>
      </w:r>
      <w:r w:rsidRPr="00D578CC" w:rsidR="00397015">
        <w:rPr>
          <w:rFonts w:ascii="Times New Roman" w:hAnsi="Times New Roman" w:cs="Times New Roman"/>
          <w:sz w:val="24"/>
          <w:szCs w:val="24"/>
        </w:rPr>
        <w:t xml:space="preserve"> </w:t>
      </w:r>
      <w:r w:rsidRPr="00D578CC">
        <w:rPr>
          <w:rFonts w:ascii="Times New Roman" w:hAnsi="Times New Roman" w:cs="Times New Roman"/>
          <w:sz w:val="24"/>
          <w:szCs w:val="24"/>
        </w:rPr>
        <w:t>to recognize that Mauritius has sovereignty over Chagos Archipelago to conduct maritime delimitation with the Maldives.</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Of course, ITLOS does not have jurisdiction to determine if Mauritius has sovereignty over the Chagos Archipelago. But the ICJ had opined on this very issue in its Advisory Opinion.</w:t>
      </w:r>
      <w:r w:rsidRPr="00D578CC">
        <w:rPr>
          <w:rStyle w:val="FootnoteReference"/>
          <w:rFonts w:ascii="Times New Roman" w:hAnsi="Times New Roman" w:cs="Times New Roman"/>
          <w:sz w:val="24"/>
          <w:szCs w:val="24"/>
        </w:rPr>
        <w:footnoteReference w:id="23"/>
      </w:r>
      <w:r w:rsidRPr="00D578CC">
        <w:rPr>
          <w:rFonts w:ascii="Times New Roman" w:hAnsi="Times New Roman" w:cs="Times New Roman"/>
          <w:sz w:val="24"/>
          <w:szCs w:val="24"/>
        </w:rPr>
        <w:t xml:space="preserve"> The question was thus whether the Advisory Opinion, which is not legally binding, could be </w:t>
      </w:r>
      <w:proofErr w:type="gramStart"/>
      <w:r w:rsidRPr="00D578CC">
        <w:rPr>
          <w:rFonts w:ascii="Times New Roman" w:hAnsi="Times New Roman" w:cs="Times New Roman"/>
          <w:sz w:val="24"/>
          <w:szCs w:val="24"/>
        </w:rPr>
        <w:t>taken into account</w:t>
      </w:r>
      <w:proofErr w:type="gramEnd"/>
      <w:r w:rsidRPr="00D578CC">
        <w:rPr>
          <w:rFonts w:ascii="Times New Roman" w:hAnsi="Times New Roman" w:cs="Times New Roman"/>
          <w:sz w:val="24"/>
          <w:szCs w:val="24"/>
        </w:rPr>
        <w:t xml:space="preserve"> by another court in determining a bilateral dispute.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ITLOS concluded that it could. It held that, “judicial determinations made in advisory opinions </w:t>
      </w:r>
      <w:r w:rsidRPr="00D578CC">
        <w:rPr>
          <w:rFonts w:ascii="Times New Roman" w:hAnsi="Times New Roman" w:cs="Times New Roman"/>
          <w:i/>
          <w:iCs/>
          <w:sz w:val="24"/>
          <w:szCs w:val="24"/>
        </w:rPr>
        <w:t xml:space="preserve">carry no less weight and authority than those in judgments because they are made with the same </w:t>
      </w:r>
      <w:proofErr w:type="spellStart"/>
      <w:r w:rsidRPr="00D578CC">
        <w:rPr>
          <w:rFonts w:ascii="Times New Roman" w:hAnsi="Times New Roman" w:cs="Times New Roman"/>
          <w:i/>
          <w:iCs/>
          <w:sz w:val="24"/>
          <w:szCs w:val="24"/>
        </w:rPr>
        <w:t>rigour</w:t>
      </w:r>
      <w:proofErr w:type="spellEnd"/>
      <w:r w:rsidRPr="00D578CC">
        <w:rPr>
          <w:rFonts w:ascii="Times New Roman" w:hAnsi="Times New Roman" w:cs="Times New Roman"/>
          <w:i/>
          <w:iCs/>
          <w:sz w:val="24"/>
          <w:szCs w:val="24"/>
        </w:rPr>
        <w:t xml:space="preserve"> and scrutiny by the ‘principal judicial organ’ of the United Nations with competence in matters of international law</w:t>
      </w:r>
      <w:r w:rsidRPr="00D578CC">
        <w:rPr>
          <w:rFonts w:ascii="Times New Roman" w:hAnsi="Times New Roman" w:cs="Times New Roman"/>
          <w:sz w:val="24"/>
          <w:szCs w:val="24"/>
        </w:rPr>
        <w:t>.”</w:t>
      </w:r>
      <w:r w:rsidRPr="00D578CC">
        <w:rPr>
          <w:rStyle w:val="FootnoteReference"/>
          <w:rFonts w:ascii="Times New Roman" w:hAnsi="Times New Roman" w:cs="Times New Roman"/>
          <w:sz w:val="24"/>
          <w:szCs w:val="24"/>
        </w:rPr>
        <w:footnoteReference w:id="24"/>
      </w:r>
      <w:r w:rsidRPr="00D578CC">
        <w:rPr>
          <w:rFonts w:ascii="Times New Roman" w:hAnsi="Times New Roman" w:cs="Times New Roman"/>
          <w:sz w:val="24"/>
          <w:szCs w:val="24"/>
        </w:rPr>
        <w:t xml:space="preserve"> ITLOS treated the ICJ’s conclusions as authoritative background and moved forward on the premise that the Chagos Archipelago </w:t>
      </w:r>
      <w:r w:rsidRPr="00D578CC">
        <w:rPr>
          <w:rFonts w:ascii="Times New Roman" w:hAnsi="Times New Roman" w:cs="Times New Roman"/>
          <w:i/>
          <w:iCs/>
          <w:sz w:val="24"/>
          <w:szCs w:val="24"/>
        </w:rPr>
        <w:t>is part of Mauritius</w:t>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The architecture of Mauritius’ strategy is instructive</w:t>
      </w:r>
      <w:r w:rsidRPr="00ED6C59">
        <w:rPr>
          <w:rFonts w:ascii="Times New Roman" w:hAnsi="Times New Roman" w:cs="Times New Roman"/>
          <w:sz w:val="24"/>
          <w:szCs w:val="24"/>
        </w:rPr>
        <w:t>. It</w:t>
      </w:r>
      <w:r w:rsidRPr="00D578CC">
        <w:rPr>
          <w:rFonts w:ascii="Times New Roman" w:hAnsi="Times New Roman" w:cs="Times New Roman"/>
          <w:sz w:val="24"/>
          <w:szCs w:val="24"/>
        </w:rPr>
        <w:t xml:space="preserve"> selected fora that matched the legal questions to be </w:t>
      </w:r>
      <w:proofErr w:type="gramStart"/>
      <w:r w:rsidRPr="00D578CC">
        <w:rPr>
          <w:rFonts w:ascii="Times New Roman" w:hAnsi="Times New Roman" w:cs="Times New Roman"/>
          <w:sz w:val="24"/>
          <w:szCs w:val="24"/>
        </w:rPr>
        <w:t>answered—law</w:t>
      </w:r>
      <w:proofErr w:type="gramEnd"/>
      <w:r w:rsidRPr="00D578CC">
        <w:rPr>
          <w:rFonts w:ascii="Times New Roman" w:hAnsi="Times New Roman" w:cs="Times New Roman"/>
          <w:sz w:val="24"/>
          <w:szCs w:val="24"/>
        </w:rPr>
        <w:t xml:space="preserve"> of the sea issues before an UNCLOS arbitral tribunal; decolonization and State responsibility before the ICJ; and maritime delimitation before ITLOS. Each step built upon the last, gradually consolidating a coherent legal narrative that other international bodies could not ignore.</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Mauritius further implemented the opinion in the form of various “soft” enforcement actions. This included contacting Google and Apple Maps and having them remove the reference to BIOT, in light of the Advisory Opinion and General Assembly Resolution.</w:t>
      </w:r>
      <w:r w:rsidRPr="00D578CC">
        <w:rPr>
          <w:rStyle w:val="FootnoteReference"/>
          <w:rFonts w:ascii="Times New Roman" w:hAnsi="Times New Roman" w:cs="Times New Roman"/>
          <w:sz w:val="24"/>
          <w:szCs w:val="24"/>
        </w:rPr>
        <w:footnoteReference w:id="25"/>
      </w:r>
      <w:r w:rsidRPr="00D578CC">
        <w:rPr>
          <w:rFonts w:ascii="Times New Roman" w:hAnsi="Times New Roman" w:cs="Times New Roman"/>
          <w:sz w:val="24"/>
          <w:szCs w:val="24"/>
        </w:rPr>
        <w:t xml:space="preserve"> It contacted the international postal union, as “BIOT” stamps were invalid.</w:t>
      </w:r>
      <w:r w:rsidRPr="00D578CC">
        <w:rPr>
          <w:rStyle w:val="FootnoteReference"/>
          <w:rFonts w:ascii="Times New Roman" w:hAnsi="Times New Roman" w:cs="Times New Roman"/>
          <w:sz w:val="24"/>
          <w:szCs w:val="24"/>
        </w:rPr>
        <w:footnoteReference w:id="26"/>
      </w:r>
      <w:r w:rsidRPr="00D578CC">
        <w:rPr>
          <w:rFonts w:ascii="Times New Roman" w:hAnsi="Times New Roman" w:cs="Times New Roman"/>
          <w:sz w:val="24"/>
          <w:szCs w:val="24"/>
        </w:rPr>
        <w:t xml:space="preserve"> It informed the UN Treaty Services that any treaties that the UK had signed or ratified to extend to the so-called “BIOT” were no longer applicable to the Chagos Archipelago.</w:t>
      </w:r>
      <w:r w:rsidRPr="00D578CC">
        <w:rPr>
          <w:rStyle w:val="FootnoteReference"/>
          <w:rFonts w:ascii="Times New Roman" w:hAnsi="Times New Roman" w:cs="Times New Roman"/>
          <w:sz w:val="24"/>
          <w:szCs w:val="24"/>
        </w:rPr>
        <w:footnoteReference w:id="27"/>
      </w:r>
      <w:r w:rsidRPr="00D578CC">
        <w:rPr>
          <w:rFonts w:ascii="Times New Roman" w:hAnsi="Times New Roman" w:cs="Times New Roman"/>
          <w:sz w:val="24"/>
          <w:szCs w:val="24"/>
        </w:rPr>
        <w:t xml:space="preserve"> It built a coalition of like-minded States on various issues of political importance. </w:t>
      </w:r>
    </w:p>
    <w:p w:rsidRPr="00D578CC" w:rsidR="00D578CC" w:rsidP="00D578CC" w:rsidRDefault="00ED6C59">
      <w:pPr>
        <w:spacing w:line="276" w:lineRule="auto"/>
        <w:ind w:firstLine="720"/>
        <w:rPr>
          <w:rFonts w:ascii="Times New Roman" w:hAnsi="Times New Roman" w:cs="Times New Roman"/>
          <w:sz w:val="24"/>
          <w:szCs w:val="24"/>
        </w:rPr>
      </w:pPr>
      <w:r>
        <w:rPr>
          <w:rFonts w:ascii="Times New Roman" w:hAnsi="Times New Roman" w:cs="Times New Roman"/>
          <w:sz w:val="24"/>
          <w:szCs w:val="24"/>
        </w:rPr>
        <w:t>W</w:t>
      </w:r>
      <w:r w:rsidRPr="00D578CC" w:rsidR="00D578CC">
        <w:rPr>
          <w:rFonts w:ascii="Times New Roman" w:hAnsi="Times New Roman" w:cs="Times New Roman"/>
          <w:sz w:val="24"/>
          <w:szCs w:val="24"/>
        </w:rPr>
        <w:t>hat Mauritius was able to achieve was a measured victory for international law. After more than half a century of dispute, in October 2024, the UK and Mauritius announced a political understanding: Mauritian sovereignty over the Chagos Archipelago would be recognized and implemented, while Diego Garcia</w:t>
      </w:r>
      <w:r>
        <w:rPr>
          <w:rFonts w:ascii="Times New Roman" w:hAnsi="Times New Roman" w:cs="Times New Roman"/>
          <w:sz w:val="24"/>
          <w:szCs w:val="24"/>
        </w:rPr>
        <w:t xml:space="preserve"> </w:t>
      </w:r>
      <w:r w:rsidRPr="00D578CC" w:rsidR="00D578CC">
        <w:rPr>
          <w:rFonts w:ascii="Times New Roman" w:hAnsi="Times New Roman" w:cs="Times New Roman"/>
          <w:sz w:val="24"/>
          <w:szCs w:val="24"/>
        </w:rPr>
        <w:t>would remain available for US</w:t>
      </w:r>
      <w:r w:rsidRPr="00D578CC" w:rsidR="00D578CC">
        <w:rPr>
          <w:rFonts w:ascii="Times New Roman" w:hAnsi="Times New Roman" w:cs="Times New Roman"/>
          <w:sz w:val="24"/>
          <w:szCs w:val="24"/>
        </w:rPr>
        <w:noBreakHyphen/>
        <w:t>UK defense needs under a long</w:t>
      </w:r>
      <w:r w:rsidRPr="00D578CC" w:rsidR="00D578CC">
        <w:rPr>
          <w:rFonts w:ascii="Times New Roman" w:hAnsi="Times New Roman" w:cs="Times New Roman"/>
          <w:sz w:val="24"/>
          <w:szCs w:val="24"/>
        </w:rPr>
        <w:noBreakHyphen/>
        <w:t>term lease.</w:t>
      </w:r>
      <w:r w:rsidRPr="00D578CC" w:rsidR="00D578CC">
        <w:rPr>
          <w:rStyle w:val="FootnoteReference"/>
          <w:rFonts w:ascii="Times New Roman" w:hAnsi="Times New Roman" w:cs="Times New Roman"/>
          <w:sz w:val="24"/>
          <w:szCs w:val="24"/>
        </w:rPr>
        <w:footnoteReference w:id="28"/>
      </w:r>
      <w:r w:rsidRPr="00D578CC" w:rsidR="00D578CC">
        <w:rPr>
          <w:rFonts w:ascii="Times New Roman" w:hAnsi="Times New Roman" w:cs="Times New Roman"/>
          <w:sz w:val="24"/>
          <w:szCs w:val="24"/>
        </w:rPr>
        <w:t> On 22 May 2025, the UK signed a treaty to transfer sovereignty to Mauritius,</w:t>
      </w:r>
      <w:r w:rsidRPr="00D578CC" w:rsidR="00D578CC">
        <w:rPr>
          <w:rStyle w:val="FootnoteReference"/>
          <w:rFonts w:ascii="Times New Roman" w:hAnsi="Times New Roman" w:cs="Times New Roman"/>
          <w:sz w:val="24"/>
          <w:szCs w:val="24"/>
        </w:rPr>
        <w:footnoteReference w:id="29"/>
      </w:r>
      <w:r w:rsidRPr="00D578CC" w:rsidR="00D578CC">
        <w:rPr>
          <w:rFonts w:ascii="Times New Roman" w:hAnsi="Times New Roman" w:cs="Times New Roman"/>
          <w:sz w:val="24"/>
          <w:szCs w:val="24"/>
        </w:rPr>
        <w:t xml:space="preserve"> while securing an initial 99</w:t>
      </w:r>
      <w:r w:rsidRPr="00D578CC" w:rsidR="00D578CC">
        <w:rPr>
          <w:rFonts w:ascii="Times New Roman" w:hAnsi="Times New Roman" w:cs="Times New Roman"/>
          <w:sz w:val="24"/>
          <w:szCs w:val="24"/>
        </w:rPr>
        <w:noBreakHyphen/>
        <w:t>year lease of Diego Garcia for a total of approximately £3.4 billion to ensure the base’s long</w:t>
      </w:r>
      <w:r w:rsidRPr="00D578CC" w:rsidR="00D578CC">
        <w:rPr>
          <w:rFonts w:ascii="Times New Roman" w:hAnsi="Times New Roman" w:cs="Times New Roman"/>
          <w:sz w:val="24"/>
          <w:szCs w:val="24"/>
        </w:rPr>
        <w:noBreakHyphen/>
        <w:t>term operation.</w:t>
      </w:r>
      <w:r w:rsidRPr="00D578CC" w:rsidR="00D578CC">
        <w:rPr>
          <w:rStyle w:val="FootnoteReference"/>
          <w:rFonts w:ascii="Times New Roman" w:hAnsi="Times New Roman" w:cs="Times New Roman"/>
          <w:sz w:val="24"/>
          <w:szCs w:val="24"/>
        </w:rPr>
        <w:footnoteReference w:id="30"/>
      </w:r>
      <w:r w:rsidRPr="00D578CC" w:rsidR="00D578CC">
        <w:rPr>
          <w:rFonts w:ascii="Times New Roman" w:hAnsi="Times New Roman" w:cs="Times New Roman"/>
          <w:sz w:val="24"/>
          <w:szCs w:val="24"/>
        </w:rPr>
        <w:t xml:space="preserve"> This agreement was welcomed by the United States.</w:t>
      </w:r>
      <w:r w:rsidRPr="00D578CC" w:rsidR="00D578CC">
        <w:rPr>
          <w:rStyle w:val="FootnoteReference"/>
          <w:rFonts w:ascii="Times New Roman" w:hAnsi="Times New Roman" w:cs="Times New Roman"/>
          <w:sz w:val="24"/>
          <w:szCs w:val="24"/>
        </w:rPr>
        <w:footnoteReference w:id="31"/>
      </w:r>
      <w:r w:rsidRPr="00D578CC" w:rsid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This sequence illustrates how Mauritius’s use of international law reset the negotiating baseline: the negotiations were no longer over whether </w:t>
      </w:r>
      <w:r w:rsidRPr="00D578CC">
        <w:rPr>
          <w:rFonts w:ascii="Times New Roman" w:hAnsi="Times New Roman" w:cs="Times New Roman"/>
          <w:i/>
          <w:iCs/>
          <w:sz w:val="24"/>
          <w:szCs w:val="24"/>
        </w:rPr>
        <w:t xml:space="preserve">sovereignty </w:t>
      </w:r>
      <w:r w:rsidRPr="00D578CC">
        <w:rPr>
          <w:rFonts w:ascii="Times New Roman" w:hAnsi="Times New Roman" w:cs="Times New Roman"/>
          <w:sz w:val="24"/>
          <w:szCs w:val="24"/>
        </w:rPr>
        <w:t xml:space="preserve">would return, but on what terms the </w:t>
      </w:r>
      <w:r w:rsidRPr="00D578CC">
        <w:rPr>
          <w:rFonts w:ascii="Times New Roman" w:hAnsi="Times New Roman" w:cs="Times New Roman"/>
          <w:i/>
          <w:iCs/>
          <w:sz w:val="24"/>
          <w:szCs w:val="24"/>
        </w:rPr>
        <w:t>islands</w:t>
      </w:r>
      <w:r w:rsidRPr="00D578CC">
        <w:rPr>
          <w:rFonts w:ascii="Times New Roman" w:hAnsi="Times New Roman" w:cs="Times New Roman"/>
          <w:sz w:val="24"/>
          <w:szCs w:val="24"/>
        </w:rPr>
        <w:t xml:space="preserve"> would be returned. </w:t>
      </w:r>
    </w:p>
    <w:p w:rsidRPr="00D578CC" w:rsidR="00D578CC" w:rsidP="000D76CA" w:rsidRDefault="00ED6C59">
      <w:pPr>
        <w:pStyle w:val="Style1"/>
      </w:pPr>
      <w:r>
        <w:t>The ITLOS and ICJ Climate Change Advisory Opinion Proceedings</w:t>
      </w:r>
    </w:p>
    <w:p w:rsidRPr="00D578CC" w:rsidR="00D578CC" w:rsidP="00A55F7A" w:rsidRDefault="00ED6C59">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The final case study considers</w:t>
      </w:r>
      <w:r w:rsidRPr="000D76CA" w:rsidR="00D578CC">
        <w:rPr>
          <w:rFonts w:ascii="Times New Roman" w:hAnsi="Times New Roman" w:cs="Times New Roman"/>
          <w:sz w:val="24"/>
          <w:szCs w:val="24"/>
        </w:rPr>
        <w:t xml:space="preserve"> how advisory opinions were employed by small-island States to move the debate on climate change.</w:t>
      </w:r>
      <w:r w:rsidR="00A55F7A">
        <w:rPr>
          <w:rFonts w:ascii="Times New Roman" w:hAnsi="Times New Roman" w:cs="Times New Roman"/>
          <w:sz w:val="24"/>
          <w:szCs w:val="24"/>
        </w:rPr>
        <w:t xml:space="preserve"> </w:t>
      </w:r>
      <w:r w:rsidRPr="00D578CC" w:rsidR="00D578CC">
        <w:rPr>
          <w:rFonts w:ascii="Times New Roman" w:hAnsi="Times New Roman" w:cs="Times New Roman"/>
          <w:sz w:val="24"/>
          <w:szCs w:val="24"/>
        </w:rPr>
        <w:t xml:space="preserve">Working through coalitions, </w:t>
      </w:r>
      <w:r>
        <w:rPr>
          <w:rFonts w:ascii="Times New Roman" w:hAnsi="Times New Roman" w:cs="Times New Roman"/>
          <w:sz w:val="24"/>
          <w:szCs w:val="24"/>
        </w:rPr>
        <w:t>these</w:t>
      </w:r>
      <w:r w:rsidRPr="00D578CC" w:rsidR="00D578CC">
        <w:rPr>
          <w:rFonts w:ascii="Times New Roman" w:hAnsi="Times New Roman" w:cs="Times New Roman"/>
          <w:sz w:val="24"/>
          <w:szCs w:val="24"/>
        </w:rPr>
        <w:t xml:space="preserve"> States asked international courts and tribunals to clarify States’ obligations on climate change under international law. They began with ITLOS, requesting an Advisory Opinion on whether States have obligations under UNCLOS to protect and preserve the marine environment from climate change impacts.</w:t>
      </w:r>
      <w:r w:rsidRPr="00D578CC" w:rsidR="00D578CC">
        <w:rPr>
          <w:rStyle w:val="FootnoteReference"/>
          <w:rFonts w:ascii="Times New Roman" w:hAnsi="Times New Roman" w:cs="Times New Roman"/>
          <w:sz w:val="24"/>
          <w:szCs w:val="24"/>
        </w:rPr>
        <w:footnoteReference w:id="32"/>
      </w:r>
      <w:r w:rsidRPr="00D578CC" w:rsidR="00D578CC">
        <w:rPr>
          <w:rFonts w:ascii="Times New Roman" w:hAnsi="Times New Roman" w:cs="Times New Roman"/>
          <w:sz w:val="24"/>
          <w:szCs w:val="24"/>
        </w:rPr>
        <w:t xml:space="preserve"> </w:t>
      </w:r>
    </w:p>
    <w:p w:rsidRPr="00D578CC" w:rsidR="00D578CC" w:rsidP="00ED6C59"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This was a deliberate first step for two reasons. </w:t>
      </w:r>
      <w:r w:rsidRPr="00D578CC">
        <w:rPr>
          <w:rFonts w:ascii="Times New Roman" w:hAnsi="Times New Roman" w:cs="Times New Roman"/>
          <w:i/>
          <w:iCs/>
          <w:sz w:val="24"/>
          <w:szCs w:val="24"/>
        </w:rPr>
        <w:t>First</w:t>
      </w:r>
      <w:r w:rsidRPr="00D578CC">
        <w:rPr>
          <w:rFonts w:ascii="Times New Roman" w:hAnsi="Times New Roman" w:cs="Times New Roman"/>
          <w:sz w:val="24"/>
          <w:szCs w:val="24"/>
        </w:rPr>
        <w:t xml:space="preserve">, anthropogenic greenhouse gas emissions have grave effects on the ocean—warming, acidification, deoxygenation, sea‑level rise, and biodiversity loss—placing the marine environment at the center of climate harm. </w:t>
      </w:r>
      <w:r w:rsidRPr="00D578CC">
        <w:rPr>
          <w:rFonts w:ascii="Times New Roman" w:hAnsi="Times New Roman" w:cs="Times New Roman"/>
          <w:i/>
          <w:iCs/>
          <w:sz w:val="24"/>
          <w:szCs w:val="24"/>
        </w:rPr>
        <w:t>Second</w:t>
      </w:r>
      <w:r w:rsidRPr="00D578CC">
        <w:rPr>
          <w:rFonts w:ascii="Times New Roman" w:hAnsi="Times New Roman" w:cs="Times New Roman"/>
          <w:sz w:val="24"/>
          <w:szCs w:val="24"/>
        </w:rPr>
        <w:t>, UNCLOS contains a relatively concrete set of rules on the duty to protect and preserve the marine environment. By situating the request within this mature treaty framework, small island States narrowed the legal issues to questions that fell squarely within ITLOS’ expertise. This focus increased the likelihood of receiving a favorable finding: it engaged a specialist tribunal, applied well‑established due diligence and precautionary standards to a defined subject matter, and linked climate harms to obligations already accepted by virtually all UNCLOS parties.</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Building on that sectoral base, </w:t>
      </w:r>
      <w:r w:rsidR="00ED6C59">
        <w:rPr>
          <w:rFonts w:ascii="Times New Roman" w:hAnsi="Times New Roman" w:cs="Times New Roman"/>
          <w:sz w:val="24"/>
          <w:szCs w:val="24"/>
        </w:rPr>
        <w:t>vulnerable</w:t>
      </w:r>
      <w:r w:rsidRPr="00D578CC">
        <w:rPr>
          <w:rFonts w:ascii="Times New Roman" w:hAnsi="Times New Roman" w:cs="Times New Roman"/>
          <w:sz w:val="24"/>
          <w:szCs w:val="24"/>
        </w:rPr>
        <w:t xml:space="preserve"> States—led diplomatically by Vanuatu—supported an advisory process at the ICJ to place climate change duties within the broader framework of international law.</w:t>
      </w:r>
      <w:r w:rsidRPr="00D578CC">
        <w:rPr>
          <w:rStyle w:val="FootnoteReference"/>
          <w:rFonts w:ascii="Times New Roman" w:hAnsi="Times New Roman" w:cs="Times New Roman"/>
          <w:sz w:val="24"/>
          <w:szCs w:val="24"/>
        </w:rPr>
        <w:footnoteReference w:id="33"/>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The order mattered</w:t>
      </w:r>
      <w:r w:rsidRPr="00ED6C59">
        <w:rPr>
          <w:rFonts w:ascii="Times New Roman" w:hAnsi="Times New Roman" w:cs="Times New Roman"/>
          <w:sz w:val="24"/>
          <w:szCs w:val="24"/>
        </w:rPr>
        <w:t>.</w:t>
      </w:r>
      <w:r w:rsidRPr="00D578CC">
        <w:rPr>
          <w:rFonts w:ascii="Times New Roman" w:hAnsi="Times New Roman" w:cs="Times New Roman"/>
          <w:sz w:val="24"/>
          <w:szCs w:val="24"/>
        </w:rPr>
        <w:t xml:space="preserve"> The ICJ </w:t>
      </w:r>
      <w:r w:rsidR="00ED6C59">
        <w:rPr>
          <w:rFonts w:ascii="Times New Roman" w:hAnsi="Times New Roman" w:cs="Times New Roman"/>
          <w:sz w:val="24"/>
          <w:szCs w:val="24"/>
        </w:rPr>
        <w:t>Advisory O</w:t>
      </w:r>
      <w:r w:rsidRPr="00D578CC">
        <w:rPr>
          <w:rFonts w:ascii="Times New Roman" w:hAnsi="Times New Roman" w:cs="Times New Roman"/>
          <w:sz w:val="24"/>
          <w:szCs w:val="24"/>
        </w:rPr>
        <w:t>pinion</w:t>
      </w:r>
      <w:r w:rsidRPr="00D578CC">
        <w:rPr>
          <w:rStyle w:val="FootnoteReference"/>
          <w:rFonts w:ascii="Times New Roman" w:hAnsi="Times New Roman" w:cs="Times New Roman"/>
          <w:sz w:val="24"/>
          <w:szCs w:val="24"/>
        </w:rPr>
        <w:footnoteReference w:id="34"/>
      </w:r>
      <w:r w:rsidRPr="00D578CC">
        <w:rPr>
          <w:rFonts w:ascii="Times New Roman" w:hAnsi="Times New Roman" w:cs="Times New Roman"/>
          <w:sz w:val="24"/>
          <w:szCs w:val="24"/>
        </w:rPr>
        <w:t xml:space="preserve"> built on the ITLOS </w:t>
      </w:r>
      <w:r w:rsidR="00ED6C59">
        <w:rPr>
          <w:rFonts w:ascii="Times New Roman" w:hAnsi="Times New Roman" w:cs="Times New Roman"/>
          <w:sz w:val="24"/>
          <w:szCs w:val="24"/>
        </w:rPr>
        <w:t>Advisory O</w:t>
      </w:r>
      <w:r w:rsidRPr="00D578CC">
        <w:rPr>
          <w:rFonts w:ascii="Times New Roman" w:hAnsi="Times New Roman" w:cs="Times New Roman"/>
          <w:sz w:val="24"/>
          <w:szCs w:val="24"/>
        </w:rPr>
        <w:t>pinion:</w:t>
      </w:r>
      <w:r w:rsidRPr="00D578CC">
        <w:rPr>
          <w:rStyle w:val="FootnoteReference"/>
          <w:rFonts w:ascii="Times New Roman" w:hAnsi="Times New Roman" w:cs="Times New Roman"/>
          <w:sz w:val="24"/>
          <w:szCs w:val="24"/>
        </w:rPr>
        <w:footnoteReference w:id="35"/>
      </w:r>
      <w:r w:rsidRPr="00D578CC">
        <w:rPr>
          <w:rFonts w:ascii="Times New Roman" w:hAnsi="Times New Roman" w:cs="Times New Roman"/>
          <w:sz w:val="24"/>
          <w:szCs w:val="24"/>
        </w:rPr>
        <w:t xml:space="preserve"> it addressed obligations under multiple bodies of international law (including international environmental law and international human rights law</w:t>
      </w:r>
      <w:proofErr w:type="gramStart"/>
      <w:r w:rsidRPr="00D578CC">
        <w:rPr>
          <w:rFonts w:ascii="Times New Roman" w:hAnsi="Times New Roman" w:cs="Times New Roman"/>
          <w:sz w:val="24"/>
          <w:szCs w:val="24"/>
        </w:rPr>
        <w:t>), and</w:t>
      </w:r>
      <w:proofErr w:type="gramEnd"/>
      <w:r w:rsidRPr="00D578CC">
        <w:rPr>
          <w:rFonts w:ascii="Times New Roman" w:hAnsi="Times New Roman" w:cs="Times New Roman"/>
          <w:sz w:val="24"/>
          <w:szCs w:val="24"/>
        </w:rPr>
        <w:t xml:space="preserve"> clarified how State responsibility and remedial obligations operate in the context of transboundary harm.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This multi‑forum strategy was deliberate</w:t>
      </w:r>
      <w:r w:rsidRPr="00ED6C59">
        <w:rPr>
          <w:rFonts w:ascii="Times New Roman" w:hAnsi="Times New Roman" w:cs="Times New Roman"/>
          <w:sz w:val="24"/>
          <w:szCs w:val="24"/>
        </w:rPr>
        <w:t>.</w:t>
      </w:r>
      <w:r w:rsidRPr="00D578CC">
        <w:rPr>
          <w:rFonts w:ascii="Times New Roman" w:hAnsi="Times New Roman" w:cs="Times New Roman"/>
          <w:sz w:val="24"/>
          <w:szCs w:val="24"/>
        </w:rPr>
        <w:t xml:space="preserve"> The involved States strategized to allocate questions to </w:t>
      </w:r>
      <w:proofErr w:type="gramStart"/>
      <w:r w:rsidRPr="00D578CC">
        <w:rPr>
          <w:rFonts w:ascii="Times New Roman" w:hAnsi="Times New Roman" w:cs="Times New Roman"/>
          <w:sz w:val="24"/>
          <w:szCs w:val="24"/>
        </w:rPr>
        <w:t>the institutions</w:t>
      </w:r>
      <w:proofErr w:type="gramEnd"/>
      <w:r w:rsidRPr="00D578CC">
        <w:rPr>
          <w:rFonts w:ascii="Times New Roman" w:hAnsi="Times New Roman" w:cs="Times New Roman"/>
          <w:sz w:val="24"/>
          <w:szCs w:val="24"/>
        </w:rPr>
        <w:t xml:space="preserve"> best suited to address </w:t>
      </w:r>
      <w:proofErr w:type="gramStart"/>
      <w:r w:rsidRPr="00D578CC">
        <w:rPr>
          <w:rFonts w:ascii="Times New Roman" w:hAnsi="Times New Roman" w:cs="Times New Roman"/>
          <w:sz w:val="24"/>
          <w:szCs w:val="24"/>
        </w:rPr>
        <w:t>them, and</w:t>
      </w:r>
      <w:proofErr w:type="gramEnd"/>
      <w:r w:rsidRPr="00D578CC">
        <w:rPr>
          <w:rFonts w:ascii="Times New Roman" w:hAnsi="Times New Roman" w:cs="Times New Roman"/>
          <w:sz w:val="24"/>
          <w:szCs w:val="24"/>
        </w:rPr>
        <w:t xml:space="preserve"> built mutually reinforcing authority. The result is a coherent body of authoritative guidance that vulnerable States can invoke to shape State conduct, steer public and private finance, inform domestic courts and regulators, and convert appeals for survival into the language of legal obligation rather than political discretion.</w:t>
      </w:r>
    </w:p>
    <w:p w:rsidRPr="00D87085" w:rsidR="00D578CC" w:rsidP="000D76CA" w:rsidRDefault="00D578CC">
      <w:pPr>
        <w:pStyle w:val="Style2"/>
      </w:pPr>
      <w:r w:rsidRPr="00D87085">
        <w:t>Small-Nation Toolkit: How to Use Law as Leverage</w:t>
      </w:r>
    </w:p>
    <w:p w:rsidR="00ED6C59"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From these experiences and others, a practical toolkit emerges. </w:t>
      </w:r>
    </w:p>
    <w:p w:rsidR="00ED6C59" w:rsidP="000D76CA" w:rsidRDefault="00ED6C59">
      <w:pPr>
        <w:pStyle w:val="Style1"/>
      </w:pPr>
      <w:r>
        <w:t>Identify Appropriate Fora</w:t>
      </w:r>
    </w:p>
    <w:p w:rsidRPr="00D578CC" w:rsidR="00D578CC" w:rsidP="00D578CC" w:rsidRDefault="00ED6C59">
      <w:pPr>
        <w:spacing w:line="276" w:lineRule="auto"/>
        <w:ind w:firstLine="720"/>
        <w:rPr>
          <w:rFonts w:ascii="Times New Roman" w:hAnsi="Times New Roman" w:cs="Times New Roman"/>
          <w:sz w:val="24"/>
          <w:szCs w:val="24"/>
        </w:rPr>
      </w:pPr>
      <w:r>
        <w:rPr>
          <w:rFonts w:ascii="Times New Roman" w:hAnsi="Times New Roman" w:cs="Times New Roman"/>
          <w:sz w:val="24"/>
          <w:szCs w:val="24"/>
        </w:rPr>
        <w:t>A</w:t>
      </w:r>
      <w:r w:rsidRPr="00D578CC" w:rsidR="00D578CC">
        <w:rPr>
          <w:rFonts w:ascii="Times New Roman" w:hAnsi="Times New Roman" w:cs="Times New Roman"/>
          <w:sz w:val="24"/>
          <w:szCs w:val="24"/>
        </w:rPr>
        <w:t xml:space="preserve">t the core of the toolkit are treaty-based </w:t>
      </w:r>
      <w:proofErr w:type="gramStart"/>
      <w:r w:rsidRPr="00D578CC" w:rsidR="00D578CC">
        <w:rPr>
          <w:rFonts w:ascii="Times New Roman" w:hAnsi="Times New Roman" w:cs="Times New Roman"/>
          <w:sz w:val="24"/>
          <w:szCs w:val="24"/>
        </w:rPr>
        <w:t>fora</w:t>
      </w:r>
      <w:proofErr w:type="gramEnd"/>
      <w:r w:rsidRPr="00D578CC" w:rsidR="00D578CC">
        <w:rPr>
          <w:rFonts w:ascii="Times New Roman" w:hAnsi="Times New Roman" w:cs="Times New Roman"/>
          <w:sz w:val="24"/>
          <w:szCs w:val="24"/>
        </w:rPr>
        <w:t xml:space="preserve">, with compulsory or near-compulsory jurisdiction. For example, sectoral regimes—aviation, postal services, and telecommunications—can provide levers, especially where a State faces discriminatory restrictions. </w:t>
      </w:r>
    </w:p>
    <w:p w:rsidRPr="00D578CC" w:rsidR="00D578CC" w:rsidP="00D578CC" w:rsidRDefault="00ED6C59">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 xml:space="preserve">Take </w:t>
      </w:r>
      <w:r w:rsidRPr="000D76CA" w:rsidR="00D578CC">
        <w:rPr>
          <w:rFonts w:ascii="Times New Roman" w:hAnsi="Times New Roman" w:cs="Times New Roman"/>
          <w:sz w:val="24"/>
          <w:szCs w:val="24"/>
        </w:rPr>
        <w:t>international aviation</w:t>
      </w:r>
      <w:r w:rsidRPr="000D76CA">
        <w:rPr>
          <w:rFonts w:ascii="Times New Roman" w:hAnsi="Times New Roman" w:cs="Times New Roman"/>
          <w:sz w:val="24"/>
          <w:szCs w:val="24"/>
        </w:rPr>
        <w:t>, for example</w:t>
      </w:r>
      <w:r w:rsidRPr="00ED6C59" w:rsidR="00D578CC">
        <w:rPr>
          <w:rFonts w:ascii="Times New Roman" w:hAnsi="Times New Roman" w:cs="Times New Roman"/>
          <w:sz w:val="24"/>
          <w:szCs w:val="24"/>
        </w:rPr>
        <w:t>.</w:t>
      </w:r>
      <w:r w:rsidRPr="00D578CC" w:rsidR="00D578CC">
        <w:rPr>
          <w:rFonts w:ascii="Times New Roman" w:hAnsi="Times New Roman" w:cs="Times New Roman"/>
          <w:sz w:val="24"/>
          <w:szCs w:val="24"/>
        </w:rPr>
        <w:t xml:space="preserve"> The Chicago Convention on International Civil Aviation (“</w:t>
      </w:r>
      <w:r w:rsidRPr="00D578CC" w:rsidR="00D578CC">
        <w:rPr>
          <w:rFonts w:ascii="Times New Roman" w:hAnsi="Times New Roman" w:cs="Times New Roman"/>
          <w:b/>
          <w:bCs/>
          <w:sz w:val="24"/>
          <w:szCs w:val="24"/>
        </w:rPr>
        <w:t>Chicago Convention</w:t>
      </w:r>
      <w:r w:rsidRPr="00D578CC" w:rsidR="00D578CC">
        <w:rPr>
          <w:rFonts w:ascii="Times New Roman" w:hAnsi="Times New Roman" w:cs="Times New Roman"/>
          <w:sz w:val="24"/>
          <w:szCs w:val="24"/>
        </w:rPr>
        <w:t>”)</w:t>
      </w:r>
      <w:r w:rsidRPr="00D578CC" w:rsidR="00D578CC">
        <w:rPr>
          <w:rStyle w:val="FootnoteReference"/>
          <w:rFonts w:ascii="Times New Roman" w:hAnsi="Times New Roman" w:cs="Times New Roman"/>
          <w:sz w:val="24"/>
          <w:szCs w:val="24"/>
        </w:rPr>
        <w:footnoteReference w:id="36"/>
      </w:r>
      <w:r w:rsidRPr="00D578CC" w:rsidR="00D578CC">
        <w:rPr>
          <w:rFonts w:ascii="Times New Roman" w:hAnsi="Times New Roman" w:cs="Times New Roman"/>
          <w:sz w:val="24"/>
          <w:szCs w:val="24"/>
        </w:rPr>
        <w:t xml:space="preserve"> codifies the principle of complete and exclusive sovereignty over airspace above a </w:t>
      </w:r>
      <w:proofErr w:type="gramStart"/>
      <w:r w:rsidRPr="00D578CC" w:rsidR="00D578CC">
        <w:rPr>
          <w:rFonts w:ascii="Times New Roman" w:hAnsi="Times New Roman" w:cs="Times New Roman"/>
          <w:sz w:val="24"/>
          <w:szCs w:val="24"/>
        </w:rPr>
        <w:t>State’s</w:t>
      </w:r>
      <w:proofErr w:type="gramEnd"/>
      <w:r w:rsidRPr="00D578CC" w:rsidR="00D578CC">
        <w:rPr>
          <w:rFonts w:ascii="Times New Roman" w:hAnsi="Times New Roman" w:cs="Times New Roman"/>
          <w:sz w:val="24"/>
          <w:szCs w:val="24"/>
        </w:rPr>
        <w:t xml:space="preserve"> territory, while mandating nondiscrimination in the application of restrictions. Its companion agreement, the International Air Services Transit Agreement (“</w:t>
      </w:r>
      <w:r w:rsidRPr="00D578CC" w:rsidR="00D578CC">
        <w:rPr>
          <w:rFonts w:ascii="Times New Roman" w:hAnsi="Times New Roman" w:cs="Times New Roman"/>
          <w:b/>
          <w:bCs/>
          <w:sz w:val="24"/>
          <w:szCs w:val="24"/>
        </w:rPr>
        <w:t>IASTA</w:t>
      </w:r>
      <w:r w:rsidRPr="00D578CC" w:rsidR="00D578CC">
        <w:rPr>
          <w:rFonts w:ascii="Times New Roman" w:hAnsi="Times New Roman" w:cs="Times New Roman"/>
          <w:sz w:val="24"/>
          <w:szCs w:val="24"/>
        </w:rPr>
        <w:t>”),</w:t>
      </w:r>
      <w:r w:rsidRPr="00D578CC" w:rsidR="00D578CC">
        <w:rPr>
          <w:rStyle w:val="FootnoteReference"/>
          <w:rFonts w:ascii="Times New Roman" w:hAnsi="Times New Roman" w:cs="Times New Roman"/>
          <w:sz w:val="24"/>
          <w:szCs w:val="24"/>
        </w:rPr>
        <w:footnoteReference w:id="37"/>
      </w:r>
      <w:r w:rsidRPr="00D578CC" w:rsidR="00D578CC">
        <w:rPr>
          <w:rFonts w:ascii="Times New Roman" w:hAnsi="Times New Roman" w:cs="Times New Roman"/>
          <w:sz w:val="24"/>
          <w:szCs w:val="24"/>
        </w:rPr>
        <w:t xml:space="preserve"> codifies the freedoms of overflight and technical stop for scheduled services. Together, they establish baseline entitlements and obligations across an interconnected global system. Where a State faces discriminatory airspace restrictions or the operation of unauthorized flights into or from an occupied part of its territory, the Convention provides a dispute-settlement mechanism through the Council of the International Civil Aviation Organization, with the possibility of appellate review before the ICJ.</w:t>
      </w:r>
      <w:r w:rsidRPr="00D578CC" w:rsidR="00D578CC">
        <w:rPr>
          <w:rStyle w:val="FootnoteReference"/>
          <w:rFonts w:ascii="Times New Roman" w:hAnsi="Times New Roman" w:cs="Times New Roman"/>
          <w:sz w:val="24"/>
          <w:szCs w:val="24"/>
        </w:rPr>
        <w:footnoteReference w:id="38"/>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Postal services present another example</w:t>
      </w:r>
      <w:r w:rsidRPr="00ED6C59">
        <w:rPr>
          <w:rFonts w:ascii="Times New Roman" w:hAnsi="Times New Roman" w:cs="Times New Roman"/>
          <w:sz w:val="24"/>
          <w:szCs w:val="24"/>
        </w:rPr>
        <w:t xml:space="preserve">. </w:t>
      </w:r>
      <w:r w:rsidRPr="00D578CC">
        <w:rPr>
          <w:rFonts w:ascii="Times New Roman" w:hAnsi="Times New Roman" w:cs="Times New Roman"/>
          <w:sz w:val="24"/>
          <w:szCs w:val="24"/>
        </w:rPr>
        <w:t>The Universal Postal Union (“</w:t>
      </w:r>
      <w:r w:rsidRPr="00D578CC">
        <w:rPr>
          <w:rFonts w:ascii="Times New Roman" w:hAnsi="Times New Roman" w:cs="Times New Roman"/>
          <w:b/>
          <w:bCs/>
          <w:sz w:val="24"/>
          <w:szCs w:val="24"/>
        </w:rPr>
        <w:t>UPU</w:t>
      </w:r>
      <w:r w:rsidRPr="00D578CC">
        <w:rPr>
          <w:rFonts w:ascii="Times New Roman" w:hAnsi="Times New Roman" w:cs="Times New Roman"/>
          <w:sz w:val="24"/>
          <w:szCs w:val="24"/>
        </w:rPr>
        <w:t>”) is built on the concept of a single postal territory with freedom of transit and reciprocal exchange of postal items—even in situations of conflict.</w:t>
      </w:r>
      <w:r w:rsidRPr="00D578CC">
        <w:rPr>
          <w:rStyle w:val="FootnoteReference"/>
          <w:rFonts w:ascii="Times New Roman" w:hAnsi="Times New Roman" w:cs="Times New Roman"/>
          <w:sz w:val="24"/>
          <w:szCs w:val="24"/>
        </w:rPr>
        <w:footnoteReference w:id="39"/>
      </w:r>
      <w:r w:rsidRPr="00D578CC">
        <w:rPr>
          <w:rFonts w:ascii="Times New Roman" w:hAnsi="Times New Roman" w:cs="Times New Roman"/>
          <w:sz w:val="24"/>
          <w:szCs w:val="24"/>
        </w:rPr>
        <w:t xml:space="preserve"> Its instruments contemplate arbitration for disputes over interpretation and responsibility. For a small nation confronting improper usage of postal services, the UPU framework offers a neutral forum to address such measures. The merits would center on the commitment to a “single postal territory” and “freedom of transit,” reinforced by obligations on designated operators to accept, handle, convey and deliver letter</w:t>
      </w:r>
      <w:r w:rsidRPr="00D578CC">
        <w:rPr>
          <w:rFonts w:ascii="Times New Roman" w:hAnsi="Times New Roman" w:cs="Times New Roman"/>
          <w:sz w:val="24"/>
          <w:szCs w:val="24"/>
        </w:rPr>
        <w:noBreakHyphen/>
        <w:t>post items. The claims can be brought to arbitration, typically administered by the Permanent Court of Arbitration (“</w:t>
      </w:r>
      <w:r w:rsidRPr="00D578CC">
        <w:rPr>
          <w:rFonts w:ascii="Times New Roman" w:hAnsi="Times New Roman" w:cs="Times New Roman"/>
          <w:b/>
          <w:bCs/>
          <w:sz w:val="24"/>
          <w:szCs w:val="24"/>
        </w:rPr>
        <w:t>PCA</w:t>
      </w:r>
      <w:r w:rsidRPr="00D578CC">
        <w:rPr>
          <w:rFonts w:ascii="Times New Roman" w:hAnsi="Times New Roman" w:cs="Times New Roman"/>
          <w:sz w:val="24"/>
          <w:szCs w:val="24"/>
        </w:rPr>
        <w:t>”).</w:t>
      </w:r>
      <w:r w:rsidRPr="00D578CC">
        <w:rPr>
          <w:rStyle w:val="FootnoteReference"/>
          <w:rFonts w:ascii="Times New Roman" w:hAnsi="Times New Roman" w:cs="Times New Roman"/>
          <w:sz w:val="24"/>
          <w:szCs w:val="24"/>
        </w:rPr>
        <w:footnoteReference w:id="40"/>
      </w:r>
      <w:r w:rsidRPr="00D578CC">
        <w:rPr>
          <w:rFonts w:ascii="Times New Roman" w:hAnsi="Times New Roman" w:cs="Times New Roman"/>
          <w:sz w:val="24"/>
          <w:szCs w:val="24"/>
        </w:rPr>
        <w:t xml:space="preserve"> </w:t>
      </w:r>
    </w:p>
    <w:p w:rsidRPr="00D578CC" w:rsidR="00D578CC" w:rsidP="00D578CC" w:rsidRDefault="00ED6C59">
      <w:pPr>
        <w:spacing w:line="276" w:lineRule="auto"/>
        <w:ind w:firstLine="720"/>
        <w:rPr>
          <w:rFonts w:ascii="Times New Roman" w:hAnsi="Times New Roman" w:cs="Times New Roman"/>
          <w:b/>
          <w:bCs/>
          <w:sz w:val="24"/>
          <w:szCs w:val="24"/>
        </w:rPr>
      </w:pPr>
      <w:r w:rsidRPr="000D76CA">
        <w:rPr>
          <w:rFonts w:ascii="Times New Roman" w:hAnsi="Times New Roman" w:cs="Times New Roman"/>
          <w:sz w:val="24"/>
          <w:szCs w:val="24"/>
        </w:rPr>
        <w:t>In addition to sectoral regimes, h</w:t>
      </w:r>
      <w:r w:rsidRPr="000D76CA" w:rsidR="00D578CC">
        <w:rPr>
          <w:rFonts w:ascii="Times New Roman" w:hAnsi="Times New Roman" w:cs="Times New Roman"/>
          <w:sz w:val="24"/>
          <w:szCs w:val="24"/>
        </w:rPr>
        <w:t xml:space="preserve">uman rights treaties can </w:t>
      </w:r>
      <w:r>
        <w:rPr>
          <w:rFonts w:ascii="Times New Roman" w:hAnsi="Times New Roman" w:cs="Times New Roman"/>
          <w:sz w:val="24"/>
          <w:szCs w:val="24"/>
        </w:rPr>
        <w:t>also</w:t>
      </w:r>
      <w:r w:rsidRPr="000D76CA">
        <w:rPr>
          <w:rFonts w:ascii="Times New Roman" w:hAnsi="Times New Roman" w:cs="Times New Roman"/>
          <w:sz w:val="24"/>
          <w:szCs w:val="24"/>
        </w:rPr>
        <w:t xml:space="preserve"> </w:t>
      </w:r>
      <w:r w:rsidRPr="000D76CA" w:rsidR="00D578CC">
        <w:rPr>
          <w:rFonts w:ascii="Times New Roman" w:hAnsi="Times New Roman" w:cs="Times New Roman"/>
          <w:sz w:val="24"/>
          <w:szCs w:val="24"/>
        </w:rPr>
        <w:t xml:space="preserve">serve as jurisdictional gateways to adjudicate discriminatory practices that flow from occupation or </w:t>
      </w:r>
      <w:r w:rsidRPr="000D76CA" w:rsidR="00D578CC">
        <w:rPr>
          <w:rFonts w:ascii="Times New Roman" w:hAnsi="Times New Roman" w:cs="Times New Roman"/>
          <w:i/>
          <w:iCs/>
          <w:sz w:val="24"/>
          <w:szCs w:val="24"/>
        </w:rPr>
        <w:t>de facto</w:t>
      </w:r>
      <w:r w:rsidRPr="000D76CA" w:rsidR="00D578CC">
        <w:rPr>
          <w:rFonts w:ascii="Times New Roman" w:hAnsi="Times New Roman" w:cs="Times New Roman"/>
          <w:sz w:val="24"/>
          <w:szCs w:val="24"/>
        </w:rPr>
        <w:t xml:space="preserve"> control. </w:t>
      </w:r>
      <w:r w:rsidRPr="00D578CC" w:rsidR="00D578CC">
        <w:rPr>
          <w:rFonts w:ascii="Times New Roman" w:hAnsi="Times New Roman" w:cs="Times New Roman"/>
          <w:sz w:val="24"/>
          <w:szCs w:val="24"/>
        </w:rPr>
        <w:t>In particular, the International Convention on the Elimination of All Forms of Racial Discrimination (“</w:t>
      </w:r>
      <w:r w:rsidRPr="00D578CC" w:rsidR="00D578CC">
        <w:rPr>
          <w:rFonts w:ascii="Times New Roman" w:hAnsi="Times New Roman" w:cs="Times New Roman"/>
          <w:b/>
          <w:bCs/>
          <w:sz w:val="24"/>
          <w:szCs w:val="24"/>
        </w:rPr>
        <w:t>CERD</w:t>
      </w:r>
      <w:r w:rsidRPr="00D578CC" w:rsidR="00D578CC">
        <w:rPr>
          <w:rFonts w:ascii="Times New Roman" w:hAnsi="Times New Roman" w:cs="Times New Roman"/>
          <w:sz w:val="24"/>
          <w:szCs w:val="24"/>
        </w:rPr>
        <w:t>”), prohibits discrimination based on national or ethnic origin.</w:t>
      </w:r>
      <w:r w:rsidRPr="00D578CC" w:rsidR="00D578CC">
        <w:rPr>
          <w:rStyle w:val="FootnoteReference"/>
          <w:rFonts w:ascii="Times New Roman" w:hAnsi="Times New Roman" w:cs="Times New Roman"/>
          <w:sz w:val="24"/>
          <w:szCs w:val="24"/>
        </w:rPr>
        <w:footnoteReference w:id="41"/>
      </w:r>
      <w:r w:rsidRPr="00D578CC" w:rsidR="00D578CC">
        <w:rPr>
          <w:rFonts w:ascii="Times New Roman" w:hAnsi="Times New Roman" w:cs="Times New Roman"/>
          <w:sz w:val="24"/>
          <w:szCs w:val="24"/>
        </w:rPr>
        <w:t xml:space="preserve"> And it provides for referral of disputes to the ICJ where negotiations fail. Recent jurisprudence has confirmed that CERD obligations can apply extraterritorially where a State exercises jurisdiction or effective control.</w:t>
      </w:r>
      <w:r w:rsidRPr="00D578CC" w:rsidR="00D578CC">
        <w:rPr>
          <w:rStyle w:val="FootnoteReference"/>
          <w:rFonts w:ascii="Times New Roman" w:hAnsi="Times New Roman" w:cs="Times New Roman"/>
          <w:sz w:val="24"/>
          <w:szCs w:val="24"/>
        </w:rPr>
        <w:footnoteReference w:id="42"/>
      </w:r>
      <w:r w:rsidRPr="00D578CC" w:rsidR="00D578CC">
        <w:rPr>
          <w:rFonts w:ascii="Times New Roman" w:hAnsi="Times New Roman" w:cs="Times New Roman"/>
          <w:sz w:val="24"/>
          <w:szCs w:val="24"/>
        </w:rPr>
        <w:t xml:space="preserve"> It has also been established that continuing or composite breaches fall within temporal scope even where the acts pre-date a State’s ratification.</w:t>
      </w:r>
      <w:r w:rsidRPr="00D578CC" w:rsidR="00D578CC">
        <w:rPr>
          <w:rStyle w:val="FootnoteReference"/>
          <w:rFonts w:ascii="Times New Roman" w:hAnsi="Times New Roman" w:cs="Times New Roman"/>
          <w:sz w:val="24"/>
          <w:szCs w:val="24"/>
        </w:rPr>
        <w:footnoteReference w:id="43"/>
      </w:r>
      <w:r w:rsidRPr="00D578CC" w:rsidR="00D578CC">
        <w:rPr>
          <w:rFonts w:ascii="Times New Roman" w:hAnsi="Times New Roman" w:cs="Times New Roman"/>
          <w:sz w:val="24"/>
          <w:szCs w:val="24"/>
        </w:rPr>
        <w:t xml:space="preserve"> When framed with care, CERD claims may directly engage the gravamen of discriminatory policies that accompany prolonged occupation—such as restrictions on movement, property rights, and cultural heritage (including the destruction or misuse of religious sites).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Finally, advisory proceedings offer a way to address systemic legal questions</w:t>
      </w:r>
      <w:r w:rsidRPr="00ED6C59">
        <w:rPr>
          <w:rFonts w:ascii="Times New Roman" w:hAnsi="Times New Roman" w:cs="Times New Roman"/>
          <w:sz w:val="24"/>
          <w:szCs w:val="24"/>
        </w:rPr>
        <w:t>.</w:t>
      </w:r>
      <w:r w:rsidRPr="00D578CC">
        <w:rPr>
          <w:rFonts w:ascii="Times New Roman" w:hAnsi="Times New Roman" w:cs="Times New Roman"/>
          <w:sz w:val="24"/>
          <w:szCs w:val="24"/>
        </w:rPr>
        <w:t xml:space="preserve"> Carefully crafted questions can elicit authoritative guidance on the legal consequences of prolonged occupation, settlements, and demographic changes. And their political effect can be substantial. They enable a State to situate its dispute within broader principles of international law, rally multilateral support, and drive institutional follow-on.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Take for example the 2024 Palestine Advisory Opinion</w:t>
      </w:r>
      <w:r w:rsidRPr="00D578CC">
        <w:rPr>
          <w:rStyle w:val="FootnoteReference"/>
          <w:rFonts w:ascii="Times New Roman" w:hAnsi="Times New Roman" w:cs="Times New Roman"/>
          <w:sz w:val="24"/>
          <w:szCs w:val="24"/>
        </w:rPr>
        <w:footnoteReference w:id="44"/>
      </w:r>
      <w:r w:rsidRPr="00D578CC">
        <w:rPr>
          <w:rFonts w:ascii="Times New Roman" w:hAnsi="Times New Roman" w:cs="Times New Roman"/>
          <w:sz w:val="24"/>
          <w:szCs w:val="24"/>
        </w:rPr>
        <w:t xml:space="preserve"> on occupation, in which the </w:t>
      </w:r>
      <w:r w:rsidR="00BE3ECD">
        <w:rPr>
          <w:rFonts w:ascii="Times New Roman" w:hAnsi="Times New Roman" w:cs="Times New Roman"/>
          <w:sz w:val="24"/>
          <w:szCs w:val="24"/>
        </w:rPr>
        <w:t>ICJ</w:t>
      </w:r>
      <w:r w:rsidRPr="00D578CC" w:rsidR="00BE3ECD">
        <w:rPr>
          <w:rFonts w:ascii="Times New Roman" w:hAnsi="Times New Roman" w:cs="Times New Roman"/>
          <w:sz w:val="24"/>
          <w:szCs w:val="24"/>
        </w:rPr>
        <w:t xml:space="preserve"> </w:t>
      </w:r>
      <w:r w:rsidRPr="00D578CC">
        <w:rPr>
          <w:rFonts w:ascii="Times New Roman" w:hAnsi="Times New Roman" w:cs="Times New Roman"/>
          <w:sz w:val="24"/>
          <w:szCs w:val="24"/>
        </w:rPr>
        <w:t>addressed the full legal architecture of an extended occupation. It confirmed the concurrent application of international humanitarian law and international human rights law; examined the legal effect of settlement activity; annexation</w:t>
      </w:r>
      <w:r w:rsidRPr="00D578CC">
        <w:rPr>
          <w:rFonts w:ascii="Times New Roman" w:hAnsi="Times New Roman" w:cs="Times New Roman"/>
          <w:sz w:val="24"/>
          <w:szCs w:val="24"/>
        </w:rPr>
        <w:noBreakHyphen/>
        <w:t>type measures and demographic alteration; and set out the consequences that flow from serious breaches of peremptory norms. Among the key consequences identified were duties of non</w:t>
      </w:r>
      <w:r w:rsidRPr="00D578CC">
        <w:rPr>
          <w:rFonts w:ascii="Times New Roman" w:hAnsi="Times New Roman" w:cs="Times New Roman"/>
          <w:sz w:val="24"/>
          <w:szCs w:val="24"/>
        </w:rPr>
        <w:noBreakHyphen/>
        <w:t>recognition and non</w:t>
      </w:r>
      <w:r w:rsidRPr="00D578CC">
        <w:rPr>
          <w:rFonts w:ascii="Times New Roman" w:hAnsi="Times New Roman" w:cs="Times New Roman"/>
          <w:sz w:val="24"/>
          <w:szCs w:val="24"/>
        </w:rPr>
        <w:noBreakHyphen/>
        <w:t>assistance in relation to unlawful situations, as well as obligations of cessation and reparation. The Court also underscored the applicability of anti</w:t>
      </w:r>
      <w:r w:rsidRPr="00D578CC">
        <w:rPr>
          <w:rFonts w:ascii="Times New Roman" w:hAnsi="Times New Roman" w:cs="Times New Roman"/>
          <w:sz w:val="24"/>
          <w:szCs w:val="24"/>
        </w:rPr>
        <w:noBreakHyphen/>
        <w:t>discrimination norms, including under CERD, to conduct in territories under a State’s effective control.</w:t>
      </w:r>
      <w:r w:rsidRPr="00D578CC">
        <w:rPr>
          <w:rStyle w:val="FootnoteReference"/>
          <w:rFonts w:ascii="Times New Roman" w:hAnsi="Times New Roman" w:cs="Times New Roman"/>
          <w:sz w:val="24"/>
          <w:szCs w:val="24"/>
        </w:rPr>
        <w:footnoteReference w:id="45"/>
      </w:r>
      <w:r w:rsidRPr="00D578CC">
        <w:rPr>
          <w:rFonts w:ascii="Times New Roman" w:hAnsi="Times New Roman" w:cs="Times New Roman"/>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sz w:val="24"/>
          <w:szCs w:val="24"/>
        </w:rPr>
        <w:t>The key is to view these tools not in isolation, but as parts of an integrated strategy</w:t>
      </w:r>
      <w:r w:rsidRPr="00BE3ECD">
        <w:rPr>
          <w:rFonts w:ascii="Times New Roman" w:hAnsi="Times New Roman" w:cs="Times New Roman"/>
          <w:sz w:val="24"/>
          <w:szCs w:val="24"/>
        </w:rPr>
        <w:t xml:space="preserve">. </w:t>
      </w:r>
      <w:r w:rsidRPr="00D578CC">
        <w:rPr>
          <w:rFonts w:ascii="Times New Roman" w:hAnsi="Times New Roman" w:cs="Times New Roman"/>
          <w:sz w:val="24"/>
          <w:szCs w:val="24"/>
        </w:rPr>
        <w:t>The right sequence, the right forum, the right claim, the right evidentiary record, and the right complimentary political and enforcement actions—</w:t>
      </w:r>
      <w:r w:rsidRPr="00D578CC">
        <w:rPr>
          <w:rFonts w:ascii="Times New Roman" w:hAnsi="Times New Roman" w:cs="Times New Roman"/>
          <w:i/>
          <w:iCs/>
          <w:sz w:val="24"/>
          <w:szCs w:val="24"/>
        </w:rPr>
        <w:t>are strategic choices</w:t>
      </w:r>
      <w:r w:rsidRPr="00D578CC">
        <w:rPr>
          <w:rFonts w:ascii="Times New Roman" w:hAnsi="Times New Roman" w:cs="Times New Roman"/>
          <w:sz w:val="24"/>
          <w:szCs w:val="24"/>
        </w:rPr>
        <w:t xml:space="preserve">. The cases I discussed show that when a State is disciplined about those choices, even entrenched disputes can shift. </w:t>
      </w:r>
    </w:p>
    <w:p w:rsidRPr="00D578CC" w:rsidR="00D578CC" w:rsidP="000D76CA" w:rsidRDefault="00BE3ECD">
      <w:pPr>
        <w:pStyle w:val="Style1"/>
      </w:pPr>
      <w:r>
        <w:t>Distinctive Features of Successful Strategies</w:t>
      </w:r>
    </w:p>
    <w:p w:rsidRPr="00D578CC" w:rsidR="00D578CC" w:rsidP="000D76CA" w:rsidRDefault="00BE3ECD">
      <w:pPr>
        <w:spacing w:line="276" w:lineRule="auto"/>
        <w:ind w:firstLine="720"/>
        <w:rPr>
          <w:rFonts w:ascii="Times New Roman" w:hAnsi="Times New Roman" w:cs="Times New Roman"/>
          <w:b/>
          <w:bCs/>
          <w:sz w:val="24"/>
          <w:szCs w:val="24"/>
        </w:rPr>
      </w:pPr>
      <w:r w:rsidRPr="000D76CA">
        <w:rPr>
          <w:rFonts w:ascii="Times New Roman" w:hAnsi="Times New Roman" w:cs="Times New Roman"/>
          <w:sz w:val="24"/>
          <w:szCs w:val="24"/>
        </w:rPr>
        <w:t>S</w:t>
      </w:r>
      <w:r w:rsidRPr="000D76CA" w:rsidR="00D578CC">
        <w:rPr>
          <w:rFonts w:ascii="Times New Roman" w:hAnsi="Times New Roman" w:cs="Times New Roman"/>
          <w:sz w:val="24"/>
          <w:szCs w:val="24"/>
        </w:rPr>
        <w:t xml:space="preserve">mall nations </w:t>
      </w:r>
      <w:r>
        <w:rPr>
          <w:rFonts w:ascii="Times New Roman" w:hAnsi="Times New Roman" w:cs="Times New Roman"/>
          <w:sz w:val="24"/>
          <w:szCs w:val="24"/>
        </w:rPr>
        <w:t>can prevail in international fora</w:t>
      </w:r>
      <w:r w:rsidRPr="000D76CA">
        <w:rPr>
          <w:rFonts w:ascii="Times New Roman" w:hAnsi="Times New Roman" w:cs="Times New Roman"/>
          <w:sz w:val="24"/>
          <w:szCs w:val="24"/>
        </w:rPr>
        <w:t xml:space="preserve"> </w:t>
      </w:r>
      <w:r w:rsidRPr="000D76CA" w:rsidR="00D578CC">
        <w:rPr>
          <w:rFonts w:ascii="Times New Roman" w:hAnsi="Times New Roman" w:cs="Times New Roman"/>
          <w:sz w:val="24"/>
          <w:szCs w:val="24"/>
        </w:rPr>
        <w:t>through method and discipline.</w:t>
      </w:r>
      <w:r w:rsidRPr="00D578CC" w:rsidR="00D578CC">
        <w:rPr>
          <w:rFonts w:ascii="Times New Roman" w:hAnsi="Times New Roman" w:cs="Times New Roman"/>
          <w:b/>
          <w:bCs/>
          <w:sz w:val="24"/>
          <w:szCs w:val="24"/>
        </w:rPr>
        <w:t xml:space="preserve"> </w:t>
      </w:r>
      <w:r w:rsidRPr="00D578CC" w:rsidR="00D578CC">
        <w:rPr>
          <w:rFonts w:ascii="Times New Roman" w:hAnsi="Times New Roman" w:cs="Times New Roman"/>
          <w:sz w:val="24"/>
          <w:szCs w:val="24"/>
        </w:rPr>
        <w:t>Successful strategies share</w:t>
      </w:r>
      <w:r>
        <w:rPr>
          <w:rFonts w:ascii="Times New Roman" w:hAnsi="Times New Roman" w:cs="Times New Roman"/>
          <w:sz w:val="24"/>
          <w:szCs w:val="24"/>
        </w:rPr>
        <w:t xml:space="preserve"> five</w:t>
      </w:r>
      <w:r w:rsidRPr="00D578CC" w:rsidR="00D578CC">
        <w:rPr>
          <w:rFonts w:ascii="Times New Roman" w:hAnsi="Times New Roman" w:cs="Times New Roman"/>
          <w:sz w:val="24"/>
          <w:szCs w:val="24"/>
        </w:rPr>
        <w:t xml:space="preserve"> distinctive features</w:t>
      </w:r>
      <w:r>
        <w:rPr>
          <w:rFonts w:ascii="Times New Roman" w:hAnsi="Times New Roman" w:cs="Times New Roman"/>
          <w:sz w:val="24"/>
          <w:szCs w:val="24"/>
        </w:rPr>
        <w:t>.</w:t>
      </w:r>
    </w:p>
    <w:p w:rsidRPr="00D578CC" w:rsidR="00D578CC" w:rsidP="00D578CC" w:rsidRDefault="00BE3ECD">
      <w:pPr>
        <w:spacing w:line="276" w:lineRule="auto"/>
        <w:ind w:firstLine="720"/>
        <w:rPr>
          <w:rFonts w:ascii="Times New Roman" w:hAnsi="Times New Roman" w:cs="Times New Roman"/>
          <w:sz w:val="24"/>
          <w:szCs w:val="24"/>
        </w:rPr>
      </w:pPr>
      <w:r w:rsidRPr="000D76CA">
        <w:rPr>
          <w:rFonts w:ascii="Times New Roman" w:hAnsi="Times New Roman" w:cs="Times New Roman"/>
          <w:b/>
          <w:bCs/>
          <w:i/>
          <w:iCs/>
          <w:sz w:val="24"/>
          <w:szCs w:val="24"/>
        </w:rPr>
        <w:t>First</w:t>
      </w:r>
      <w:r w:rsidRPr="000D76CA">
        <w:rPr>
          <w:rFonts w:ascii="Times New Roman" w:hAnsi="Times New Roman" w:cs="Times New Roman"/>
          <w:b/>
          <w:bCs/>
          <w:sz w:val="24"/>
          <w:szCs w:val="24"/>
        </w:rPr>
        <w:t>, t</w:t>
      </w:r>
      <w:r w:rsidRPr="000D76CA" w:rsidR="00D578CC">
        <w:rPr>
          <w:rFonts w:ascii="Times New Roman" w:hAnsi="Times New Roman" w:cs="Times New Roman"/>
          <w:b/>
          <w:bCs/>
          <w:sz w:val="24"/>
          <w:szCs w:val="24"/>
        </w:rPr>
        <w:t>hey are anchored in jurisdiction</w:t>
      </w:r>
      <w:r w:rsidRPr="00D578CC" w:rsidR="00D578CC">
        <w:rPr>
          <w:rFonts w:ascii="Times New Roman" w:hAnsi="Times New Roman" w:cs="Times New Roman"/>
          <w:sz w:val="24"/>
          <w:szCs w:val="24"/>
        </w:rPr>
        <w:t xml:space="preserve">. A case that begins by identifying the correct forum and framing the dispute squarely within the right instrument is already halfway won. In the Philippines’ arbitration, the decision to confine the case to the interpretation and application of UNCLOS—and to keep sovereignty and delimitation off the table—was the difference between a jurisdictional dead end and a merits victory. </w:t>
      </w:r>
    </w:p>
    <w:p w:rsidRPr="00D578CC" w:rsidR="00D578CC" w:rsidP="00D578CC" w:rsidRDefault="00BE3ECD">
      <w:pPr>
        <w:spacing w:line="276" w:lineRule="auto"/>
        <w:ind w:firstLine="720"/>
        <w:rPr>
          <w:rFonts w:ascii="Times New Roman" w:hAnsi="Times New Roman" w:cs="Times New Roman"/>
          <w:sz w:val="24"/>
          <w:szCs w:val="24"/>
        </w:rPr>
      </w:pPr>
      <w:r w:rsidRPr="000D76CA">
        <w:rPr>
          <w:rFonts w:ascii="Times New Roman" w:hAnsi="Times New Roman" w:cs="Times New Roman"/>
          <w:b/>
          <w:bCs/>
          <w:i/>
          <w:iCs/>
          <w:sz w:val="24"/>
          <w:szCs w:val="24"/>
        </w:rPr>
        <w:t>Second</w:t>
      </w:r>
      <w:r w:rsidRPr="000D76CA">
        <w:rPr>
          <w:rFonts w:ascii="Times New Roman" w:hAnsi="Times New Roman" w:cs="Times New Roman"/>
          <w:b/>
          <w:bCs/>
          <w:sz w:val="24"/>
          <w:szCs w:val="24"/>
        </w:rPr>
        <w:t>, t</w:t>
      </w:r>
      <w:r w:rsidRPr="000D76CA" w:rsidR="00D578CC">
        <w:rPr>
          <w:rFonts w:ascii="Times New Roman" w:hAnsi="Times New Roman" w:cs="Times New Roman"/>
          <w:b/>
          <w:bCs/>
          <w:sz w:val="24"/>
          <w:szCs w:val="24"/>
        </w:rPr>
        <w:t>hey are evidence-led</w:t>
      </w:r>
      <w:r w:rsidRPr="00BE3ECD" w:rsidR="00D578CC">
        <w:rPr>
          <w:rFonts w:ascii="Times New Roman" w:hAnsi="Times New Roman" w:cs="Times New Roman"/>
          <w:sz w:val="24"/>
          <w:szCs w:val="24"/>
        </w:rPr>
        <w:t>.</w:t>
      </w:r>
      <w:r w:rsidRPr="00D578CC" w:rsidR="00D578CC">
        <w:rPr>
          <w:rFonts w:ascii="Times New Roman" w:hAnsi="Times New Roman" w:cs="Times New Roman"/>
          <w:sz w:val="24"/>
          <w:szCs w:val="24"/>
        </w:rPr>
        <w:t xml:space="preserve"> Small nations succeed by converting lived realities into forensic proof—satellite imagery, environmental impact data, aviation notices, declassified cables, and statements by responsible officials. The best strategy is to present meticulous, corroborated evidence that leaves little room for ambiguity. </w:t>
      </w:r>
    </w:p>
    <w:p w:rsidRPr="00D578CC" w:rsidR="00D578CC" w:rsidP="00D578CC" w:rsidRDefault="00D578CC">
      <w:pPr>
        <w:spacing w:line="276" w:lineRule="auto"/>
        <w:ind w:firstLine="720"/>
        <w:rPr>
          <w:rFonts w:ascii="Times New Roman" w:hAnsi="Times New Roman" w:cs="Times New Roman"/>
          <w:sz w:val="24"/>
          <w:szCs w:val="24"/>
        </w:rPr>
      </w:pPr>
      <w:r w:rsidRPr="000D76CA">
        <w:rPr>
          <w:rFonts w:ascii="Times New Roman" w:hAnsi="Times New Roman" w:cs="Times New Roman"/>
          <w:b/>
          <w:bCs/>
          <w:i/>
          <w:iCs/>
          <w:sz w:val="24"/>
          <w:szCs w:val="24"/>
        </w:rPr>
        <w:t>T</w:t>
      </w:r>
      <w:r w:rsidRPr="000D76CA" w:rsidR="00BE3ECD">
        <w:rPr>
          <w:rFonts w:ascii="Times New Roman" w:hAnsi="Times New Roman" w:cs="Times New Roman"/>
          <w:b/>
          <w:bCs/>
          <w:i/>
          <w:iCs/>
          <w:sz w:val="24"/>
          <w:szCs w:val="24"/>
        </w:rPr>
        <w:t>hird</w:t>
      </w:r>
      <w:r w:rsidRPr="000D76CA" w:rsidR="00BE3ECD">
        <w:rPr>
          <w:rFonts w:ascii="Times New Roman" w:hAnsi="Times New Roman" w:cs="Times New Roman"/>
          <w:b/>
          <w:bCs/>
          <w:sz w:val="24"/>
          <w:szCs w:val="24"/>
        </w:rPr>
        <w:t>, t</w:t>
      </w:r>
      <w:r w:rsidRPr="000D76CA">
        <w:rPr>
          <w:rFonts w:ascii="Times New Roman" w:hAnsi="Times New Roman" w:cs="Times New Roman"/>
          <w:b/>
          <w:bCs/>
          <w:sz w:val="24"/>
          <w:szCs w:val="24"/>
        </w:rPr>
        <w:t>hey are coordinated across the government</w:t>
      </w:r>
      <w:r w:rsidRPr="00BE3ECD">
        <w:rPr>
          <w:rFonts w:ascii="Times New Roman" w:hAnsi="Times New Roman" w:cs="Times New Roman"/>
          <w:sz w:val="24"/>
          <w:szCs w:val="24"/>
        </w:rPr>
        <w:t xml:space="preserve">. </w:t>
      </w:r>
      <w:r w:rsidRPr="00D578CC">
        <w:rPr>
          <w:rFonts w:ascii="Times New Roman" w:hAnsi="Times New Roman" w:cs="Times New Roman"/>
          <w:sz w:val="24"/>
          <w:szCs w:val="24"/>
        </w:rPr>
        <w:t>Diplomats, technical agencies, and independent experts must be coordinated to ensure that legal submissions are supported by consistent State practice, coherent policy statements, and well-prepared witnesses. This goes to credibility before adjudicators.</w:t>
      </w:r>
    </w:p>
    <w:p w:rsidRPr="00D578CC" w:rsidR="00D578CC" w:rsidP="00D578CC" w:rsidRDefault="00BE3ECD">
      <w:pPr>
        <w:spacing w:line="276" w:lineRule="auto"/>
        <w:ind w:firstLine="720"/>
        <w:rPr>
          <w:rFonts w:ascii="Times New Roman" w:hAnsi="Times New Roman" w:cs="Times New Roman"/>
          <w:sz w:val="24"/>
          <w:szCs w:val="24"/>
        </w:rPr>
      </w:pPr>
      <w:r w:rsidRPr="000D76CA">
        <w:rPr>
          <w:rFonts w:ascii="Times New Roman" w:hAnsi="Times New Roman" w:cs="Times New Roman"/>
          <w:b/>
          <w:bCs/>
          <w:i/>
          <w:iCs/>
          <w:sz w:val="24"/>
          <w:szCs w:val="24"/>
        </w:rPr>
        <w:t>Fourth</w:t>
      </w:r>
      <w:r w:rsidRPr="000D76CA">
        <w:rPr>
          <w:rFonts w:ascii="Times New Roman" w:hAnsi="Times New Roman" w:cs="Times New Roman"/>
          <w:b/>
          <w:bCs/>
          <w:sz w:val="24"/>
          <w:szCs w:val="24"/>
        </w:rPr>
        <w:t>, t</w:t>
      </w:r>
      <w:r w:rsidRPr="000D76CA" w:rsidR="00D578CC">
        <w:rPr>
          <w:rFonts w:ascii="Times New Roman" w:hAnsi="Times New Roman" w:cs="Times New Roman"/>
          <w:b/>
          <w:bCs/>
          <w:sz w:val="24"/>
          <w:szCs w:val="24"/>
        </w:rPr>
        <w:t>hey integrate litigation with diplomacy</w:t>
      </w:r>
      <w:r w:rsidRPr="00BE3ECD" w:rsidR="00D578CC">
        <w:rPr>
          <w:rFonts w:ascii="Times New Roman" w:hAnsi="Times New Roman" w:cs="Times New Roman"/>
          <w:sz w:val="24"/>
          <w:szCs w:val="24"/>
        </w:rPr>
        <w:t>.</w:t>
      </w:r>
      <w:r w:rsidRPr="00D578CC" w:rsidR="00D578CC">
        <w:rPr>
          <w:rFonts w:ascii="Times New Roman" w:hAnsi="Times New Roman" w:cs="Times New Roman"/>
          <w:sz w:val="24"/>
          <w:szCs w:val="24"/>
        </w:rPr>
        <w:t xml:space="preserve"> Every filing has a diplomatic horizon; every hearing is a moment of public diplomacy. Coalitions matter</w:t>
      </w:r>
      <w:r>
        <w:rPr>
          <w:rFonts w:ascii="Times New Roman" w:hAnsi="Times New Roman" w:cs="Times New Roman"/>
          <w:sz w:val="24"/>
          <w:szCs w:val="24"/>
        </w:rPr>
        <w:t>:</w:t>
      </w:r>
      <w:r w:rsidRPr="00D578CC" w:rsidR="00D578CC">
        <w:rPr>
          <w:rFonts w:ascii="Times New Roman" w:hAnsi="Times New Roman" w:cs="Times New Roman"/>
          <w:sz w:val="24"/>
          <w:szCs w:val="24"/>
        </w:rPr>
        <w:t xml:space="preserve"> </w:t>
      </w:r>
      <w:r>
        <w:rPr>
          <w:rFonts w:ascii="Times New Roman" w:hAnsi="Times New Roman" w:cs="Times New Roman"/>
          <w:sz w:val="24"/>
          <w:szCs w:val="24"/>
        </w:rPr>
        <w:t>t</w:t>
      </w:r>
      <w:r w:rsidRPr="00D578CC" w:rsidR="00D578CC">
        <w:rPr>
          <w:rFonts w:ascii="Times New Roman" w:hAnsi="Times New Roman" w:cs="Times New Roman"/>
          <w:sz w:val="24"/>
          <w:szCs w:val="24"/>
        </w:rPr>
        <w:t xml:space="preserve">he Philippines’ award resonated because other States understood its implications for the law of the sea. Mauritius’ Advisory Opinion gained force because of the coalition of African States, non-alignment States, and because the General Assembly carried it forward. Vulnerable States moved the discussion on climate change to action because </w:t>
      </w:r>
      <w:r>
        <w:rPr>
          <w:rFonts w:ascii="Times New Roman" w:hAnsi="Times New Roman" w:cs="Times New Roman"/>
          <w:sz w:val="24"/>
          <w:szCs w:val="24"/>
        </w:rPr>
        <w:t>they</w:t>
      </w:r>
      <w:r w:rsidRPr="00D578CC" w:rsidR="00D578CC">
        <w:rPr>
          <w:rFonts w:ascii="Times New Roman" w:hAnsi="Times New Roman" w:cs="Times New Roman"/>
          <w:sz w:val="24"/>
          <w:szCs w:val="24"/>
        </w:rPr>
        <w:t xml:space="preserve"> built a coalition and martialed the media and public support.</w:t>
      </w:r>
    </w:p>
    <w:p w:rsidRPr="00D578CC" w:rsidR="00D578CC" w:rsidP="00D578CC" w:rsidRDefault="00BE3ECD">
      <w:pPr>
        <w:spacing w:line="276" w:lineRule="auto"/>
        <w:ind w:firstLine="720"/>
        <w:rPr>
          <w:rFonts w:ascii="Times New Roman" w:hAnsi="Times New Roman" w:cs="Times New Roman"/>
          <w:sz w:val="24"/>
          <w:szCs w:val="24"/>
        </w:rPr>
      </w:pPr>
      <w:r w:rsidRPr="000D76CA">
        <w:rPr>
          <w:rFonts w:ascii="Times New Roman" w:hAnsi="Times New Roman" w:cs="Times New Roman"/>
          <w:b/>
          <w:bCs/>
          <w:i/>
          <w:iCs/>
          <w:sz w:val="24"/>
          <w:szCs w:val="24"/>
        </w:rPr>
        <w:t>Fifth</w:t>
      </w:r>
      <w:r w:rsidRPr="000D76CA">
        <w:rPr>
          <w:rFonts w:ascii="Times New Roman" w:hAnsi="Times New Roman" w:cs="Times New Roman"/>
          <w:b/>
          <w:bCs/>
          <w:sz w:val="24"/>
          <w:szCs w:val="24"/>
        </w:rPr>
        <w:t>, t</w:t>
      </w:r>
      <w:r w:rsidRPr="000D76CA" w:rsidR="00D578CC">
        <w:rPr>
          <w:rFonts w:ascii="Times New Roman" w:hAnsi="Times New Roman" w:cs="Times New Roman"/>
          <w:b/>
          <w:bCs/>
          <w:sz w:val="24"/>
          <w:szCs w:val="24"/>
        </w:rPr>
        <w:t>hey plan for implementation</w:t>
      </w:r>
      <w:r w:rsidRPr="00D578CC" w:rsidR="00D578CC">
        <w:rPr>
          <w:rFonts w:ascii="Times New Roman" w:hAnsi="Times New Roman" w:cs="Times New Roman"/>
          <w:sz w:val="24"/>
          <w:szCs w:val="24"/>
        </w:rPr>
        <w:t xml:space="preserve">. Provisional measures, follow-on cases, and political and commercial </w:t>
      </w:r>
      <w:proofErr w:type="gramStart"/>
      <w:r w:rsidRPr="00D578CC" w:rsidR="00D578CC">
        <w:rPr>
          <w:rFonts w:ascii="Times New Roman" w:hAnsi="Times New Roman" w:cs="Times New Roman"/>
          <w:sz w:val="24"/>
          <w:szCs w:val="24"/>
        </w:rPr>
        <w:t>implementation—</w:t>
      </w:r>
      <w:proofErr w:type="gramEnd"/>
      <w:r w:rsidRPr="00D578CC" w:rsidR="00D578CC">
        <w:rPr>
          <w:rFonts w:ascii="Times New Roman" w:hAnsi="Times New Roman" w:cs="Times New Roman"/>
          <w:sz w:val="24"/>
          <w:szCs w:val="24"/>
        </w:rPr>
        <w:t>that is how judgments and opinions make an impact. Implementation is not an afterthought; it is an integral part of the strategy from the outset.</w:t>
      </w:r>
      <w:r w:rsidRPr="00D578CC" w:rsidR="00D578CC">
        <w:rPr>
          <w:rFonts w:ascii="Times New Roman" w:hAnsi="Times New Roman" w:cs="Times New Roman"/>
          <w:b/>
          <w:bCs/>
          <w:sz w:val="24"/>
          <w:szCs w:val="24"/>
        </w:rPr>
        <w:t xml:space="preserve">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Against that background, the role of international law has a particular resonance: it offers a way to turn structural disadvantages into advantages. When a small nation uses the law to obtain a favorable opinion or judgment, it does not protect its interests alone</w:t>
      </w:r>
      <w:r w:rsidR="00BE3ECD">
        <w:rPr>
          <w:rFonts w:ascii="Times New Roman" w:hAnsi="Times New Roman" w:cs="Times New Roman"/>
          <w:sz w:val="24"/>
          <w:szCs w:val="24"/>
        </w:rPr>
        <w:t>. It</w:t>
      </w:r>
      <w:r w:rsidRPr="00D578CC">
        <w:rPr>
          <w:rFonts w:ascii="Times New Roman" w:hAnsi="Times New Roman" w:cs="Times New Roman"/>
          <w:sz w:val="24"/>
          <w:szCs w:val="24"/>
        </w:rPr>
        <w:t xml:space="preserve"> advances the international rule of law for all. </w:t>
      </w:r>
    </w:p>
    <w:p w:rsidRPr="00D578CC" w:rsidR="00D578CC"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That is why it is no exaggeration to say that small nations are often the custodians of </w:t>
      </w:r>
      <w:proofErr w:type="gramStart"/>
      <w:r w:rsidRPr="00D578CC">
        <w:rPr>
          <w:rFonts w:ascii="Times New Roman" w:hAnsi="Times New Roman" w:cs="Times New Roman"/>
          <w:sz w:val="24"/>
          <w:szCs w:val="24"/>
        </w:rPr>
        <w:t>the international</w:t>
      </w:r>
      <w:proofErr w:type="gramEnd"/>
      <w:r w:rsidRPr="00D578CC">
        <w:rPr>
          <w:rFonts w:ascii="Times New Roman" w:hAnsi="Times New Roman" w:cs="Times New Roman"/>
          <w:sz w:val="24"/>
          <w:szCs w:val="24"/>
        </w:rPr>
        <w:t xml:space="preserve"> legal order. Because they must rely on it, they are the ones most likely to strengthen it. Because they cannot take it for granted, they are the ones most likely to innovate within it.</w:t>
      </w:r>
    </w:p>
    <w:p w:rsidR="00BE3ECD" w:rsidP="00D578CC"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The rule of law is not a luxury. </w:t>
      </w:r>
    </w:p>
    <w:p w:rsidRPr="00D578CC" w:rsidR="007A4414" w:rsidP="000D76CA" w:rsidRDefault="00D578CC">
      <w:pPr>
        <w:spacing w:line="276" w:lineRule="auto"/>
        <w:ind w:firstLine="720"/>
        <w:rPr>
          <w:rFonts w:ascii="Times New Roman" w:hAnsi="Times New Roman" w:cs="Times New Roman"/>
          <w:sz w:val="24"/>
          <w:szCs w:val="24"/>
        </w:rPr>
      </w:pPr>
      <w:r w:rsidRPr="00D578CC">
        <w:rPr>
          <w:rFonts w:ascii="Times New Roman" w:hAnsi="Times New Roman" w:cs="Times New Roman"/>
          <w:sz w:val="24"/>
          <w:szCs w:val="24"/>
        </w:rPr>
        <w:t xml:space="preserve">For small nations, it is the path to security, dignity, and prosperity. The </w:t>
      </w:r>
      <w:r w:rsidR="00BE3ECD">
        <w:rPr>
          <w:rFonts w:ascii="Times New Roman" w:hAnsi="Times New Roman" w:cs="Times New Roman"/>
          <w:sz w:val="24"/>
          <w:szCs w:val="24"/>
        </w:rPr>
        <w:t>case studies provided</w:t>
      </w:r>
      <w:r w:rsidRPr="00D578CC">
        <w:rPr>
          <w:rFonts w:ascii="Times New Roman" w:hAnsi="Times New Roman" w:cs="Times New Roman"/>
          <w:sz w:val="24"/>
          <w:szCs w:val="24"/>
        </w:rPr>
        <w:t xml:space="preserve"> prove that when small nations choose that path with care, clarity and courage, the international community—and the law itself—move with them.</w:t>
      </w:r>
    </w:p>
    <w:sectPr w:rsidRPr="00D578CC" w:rsidR="007A4414" w:rsidSect="00B53F7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0753" w:rsidP="00D578CC" w:rsidRDefault="00EF0753">
      <w:pPr>
        <w:spacing w:after="0" w:line="240" w:lineRule="auto"/>
      </w:pPr>
      <w:r>
        <w:separator/>
      </w:r>
    </w:p>
  </w:endnote>
  <w:endnote w:type="continuationSeparator" w:id="0">
    <w:p w:rsidR="00EF0753" w:rsidP="00D578CC" w:rsidRDefault="00EF0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76CA" w:rsidRDefault="000D7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260514"/>
      <w:docPartObj>
        <w:docPartGallery w:val="Page Numbers (Bottom of Page)"/>
        <w:docPartUnique/>
      </w:docPartObj>
    </w:sdtPr>
    <w:sdtEndPr>
      <w:rPr>
        <w:rFonts w:ascii="Times New Roman" w:hAnsi="Times New Roman" w:cs="Times New Roman"/>
        <w:noProof/>
        <w:sz w:val="28"/>
        <w:szCs w:val="28"/>
      </w:rPr>
    </w:sdtEndPr>
    <w:sdtContent>
      <w:p w:rsidRPr="00E83779" w:rsidR="00E83779" w:rsidRDefault="00E83779">
        <w:pPr>
          <w:pStyle w:val="Footer"/>
          <w:jc w:val="center"/>
          <w:rPr>
            <w:rFonts w:ascii="Times New Roman" w:hAnsi="Times New Roman" w:cs="Times New Roman"/>
            <w:sz w:val="24"/>
            <w:szCs w:val="24"/>
          </w:rPr>
        </w:pPr>
        <w:r w:rsidRPr="00E83779">
          <w:rPr>
            <w:rFonts w:ascii="Times New Roman" w:hAnsi="Times New Roman" w:cs="Times New Roman"/>
            <w:sz w:val="24"/>
            <w:szCs w:val="24"/>
          </w:rPr>
          <w:fldChar w:fldCharType="begin"/>
        </w:r>
        <w:r w:rsidRPr="00E83779">
          <w:rPr>
            <w:rFonts w:ascii="Times New Roman" w:hAnsi="Times New Roman" w:cs="Times New Roman"/>
            <w:sz w:val="24"/>
            <w:szCs w:val="24"/>
          </w:rPr>
          <w:instrText xml:space="preserve"> PAGE   \* MERGEFORMAT </w:instrText>
        </w:r>
        <w:r w:rsidRPr="00E83779">
          <w:rPr>
            <w:rFonts w:ascii="Times New Roman" w:hAnsi="Times New Roman" w:cs="Times New Roman"/>
            <w:sz w:val="24"/>
            <w:szCs w:val="24"/>
          </w:rPr>
          <w:fldChar w:fldCharType="separate"/>
        </w:r>
        <w:r w:rsidRPr="00E83779">
          <w:rPr>
            <w:rFonts w:ascii="Times New Roman" w:hAnsi="Times New Roman" w:cs="Times New Roman"/>
            <w:noProof/>
            <w:sz w:val="24"/>
            <w:szCs w:val="24"/>
          </w:rPr>
          <w:t>2</w:t>
        </w:r>
        <w:r w:rsidRPr="00E83779">
          <w:rPr>
            <w:rFonts w:ascii="Times New Roman" w:hAnsi="Times New Roman" w:cs="Times New Roman"/>
            <w:noProof/>
            <w:sz w:val="24"/>
            <w:szCs w:val="24"/>
          </w:rPr>
          <w:fldChar w:fldCharType="end"/>
        </w:r>
      </w:p>
    </w:sdtContent>
  </w:sdt>
  <w:p w:rsidR="00E83779" w:rsidRDefault="00E837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76CA" w:rsidRDefault="000D7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0753" w:rsidP="00D578CC" w:rsidRDefault="00EF0753">
      <w:pPr>
        <w:spacing w:after="0" w:line="240" w:lineRule="auto"/>
      </w:pPr>
      <w:r>
        <w:separator/>
      </w:r>
    </w:p>
  </w:footnote>
  <w:footnote w:type="continuationSeparator" w:id="0">
    <w:p w:rsidR="00EF0753" w:rsidP="00D578CC" w:rsidRDefault="00EF0753">
      <w:pPr>
        <w:spacing w:after="0" w:line="240" w:lineRule="auto"/>
      </w:pPr>
      <w:r>
        <w:continuationSeparator/>
      </w:r>
    </w:p>
  </w:footnote>
  <w:footnote w:id="1">
    <w:p w:rsidR="00BE3ECD" w:rsidP="00D578CC" w:rsidRDefault="00BE3ECD">
      <w:pPr>
        <w:pStyle w:val="FootnoteText"/>
        <w:spacing w:after="120"/>
      </w:pPr>
      <w:r w:rsidRPr="00BE3ECD">
        <w:rPr>
          <w:rStyle w:val="FootnoteReference"/>
        </w:rPr>
        <w:sym w:font="Symbol" w:char="F02A"/>
      </w:r>
      <w:r>
        <w:t xml:space="preserve"> </w:t>
      </w:r>
      <w:r w:rsidRPr="00B0571F">
        <w:t>A version of this piece was originally delivered as a keynote address</w:t>
      </w:r>
      <w:r>
        <w:t xml:space="preserve"> on “Small Nations and the Role of International Law”</w:t>
      </w:r>
      <w:r w:rsidRPr="00B0571F">
        <w:t xml:space="preserve"> to the Cyprus Bar Association</w:t>
      </w:r>
      <w:r>
        <w:t xml:space="preserve"> in Nicosia, Cyprus on 18 November 2025</w:t>
      </w:r>
      <w:r w:rsidR="000D76CA">
        <w:t xml:space="preserve"> and at Stanford Law School in January 2026</w:t>
      </w:r>
      <w:r w:rsidRPr="00B0571F">
        <w:t>. It has been adapted for publication.</w:t>
      </w:r>
    </w:p>
  </w:footnote>
  <w:footnote w:id="2">
    <w:p w:rsidR="000F3B47" w:rsidP="00D578CC" w:rsidRDefault="000F3B47">
      <w:pPr>
        <w:pStyle w:val="FootnoteText"/>
        <w:spacing w:after="120"/>
      </w:pPr>
      <w:r>
        <w:rPr>
          <w:rStyle w:val="FootnoteReference"/>
        </w:rPr>
        <w:t>†</w:t>
      </w:r>
      <w:r>
        <w:t xml:space="preserve"> </w:t>
      </w:r>
      <w:r w:rsidRPr="003537AA">
        <w:t xml:space="preserve">Christina Hioureas is a partner and Global Co-Chair of Foley Hoag’s International Litigation &amp; Arbitration Department, and Chair of the firm’s United Nations Practice Group. </w:t>
      </w:r>
      <w:r>
        <w:t>She is also a Visiting Professor of Law at the University of California Los Angeles (UCLA) School of Law and Lecturer in Law at the USC Gould School of Law. T</w:t>
      </w:r>
      <w:r w:rsidRPr="003537AA">
        <w:t xml:space="preserve">his piece is published in her personal </w:t>
      </w:r>
      <w:proofErr w:type="gramStart"/>
      <w:r w:rsidRPr="003537AA">
        <w:t>capacity</w:t>
      </w:r>
      <w:r>
        <w:t>,</w:t>
      </w:r>
      <w:proofErr w:type="gramEnd"/>
      <w:r>
        <w:t xml:space="preserve"> all views her own</w:t>
      </w:r>
      <w:r w:rsidRPr="003537AA">
        <w:t>.</w:t>
      </w:r>
    </w:p>
  </w:footnote>
  <w:footnote w:id="3">
    <w:p w:rsidRPr="003C5151" w:rsidR="00D578CC" w:rsidP="00D578CC" w:rsidRDefault="00D578CC">
      <w:pPr>
        <w:pStyle w:val="FootnoteText"/>
        <w:spacing w:after="120"/>
        <w:rPr>
          <w:rFonts w:cs="Times New Roman"/>
        </w:rPr>
      </w:pPr>
      <w:r w:rsidRPr="003C5151">
        <w:rPr>
          <w:rStyle w:val="FootnoteReference"/>
          <w:rFonts w:cs="Times New Roman"/>
        </w:rPr>
        <w:footnoteRef/>
      </w:r>
      <w:r w:rsidRPr="003C5151">
        <w:rPr>
          <w:rFonts w:cs="Times New Roman"/>
        </w:rPr>
        <w:t xml:space="preserve"> </w:t>
      </w:r>
      <w:r w:rsidRPr="00EE7048">
        <w:rPr>
          <w:rFonts w:cs="Times New Roman"/>
        </w:rPr>
        <w:t xml:space="preserve">United Nations Convention on the Law of the Sea (UNCLOS) (adopted in 1982, entered into force in 1994), </w:t>
      </w:r>
      <w:r w:rsidRPr="003C5151">
        <w:rPr>
          <w:rFonts w:cs="Times New Roman"/>
          <w:i/>
          <w:iCs/>
        </w:rPr>
        <w:t>available at</w:t>
      </w:r>
      <w:r w:rsidRPr="00EE7048">
        <w:rPr>
          <w:rFonts w:cs="Times New Roman"/>
        </w:rPr>
        <w:t xml:space="preserve"> </w:t>
      </w:r>
      <w:r w:rsidRPr="00EE7048">
        <w:rPr>
          <w:rFonts w:cs="Times New Roman"/>
        </w:rPr>
        <w:t>https://www.un.org/depts/los/convention_agreements/texts/unclos/unclos_e.pdf</w:t>
      </w:r>
      <w:r w:rsidRPr="00EE7048">
        <w:rPr>
          <w:rFonts w:cs="Times New Roman"/>
        </w:rPr>
        <w:t xml:space="preserve">. </w:t>
      </w:r>
    </w:p>
  </w:footnote>
  <w:footnote w:id="4">
    <w:p w:rsidR="00D578CC" w:rsidP="00D578CC" w:rsidRDefault="00D578CC">
      <w:pPr>
        <w:pStyle w:val="FootnoteText"/>
        <w:spacing w:after="120"/>
      </w:pPr>
      <w:r>
        <w:rPr>
          <w:rStyle w:val="FootnoteReference"/>
        </w:rPr>
        <w:footnoteRef/>
      </w:r>
      <w:r>
        <w:t xml:space="preserve"> S. Chhaya, “</w:t>
      </w:r>
      <w:r w:rsidRPr="00D517F7">
        <w:t>The $5.3 Trillion Question: How South China Sea Tensions Are Rewriting Global Trade Rules</w:t>
      </w:r>
      <w:r>
        <w:t xml:space="preserve">,” </w:t>
      </w:r>
      <w:r w:rsidRPr="00BB298D">
        <w:rPr>
          <w:i/>
          <w:iCs/>
        </w:rPr>
        <w:t>Atlas Institute for International Affairs</w:t>
      </w:r>
      <w:r>
        <w:t xml:space="preserve"> (4 Jul. 2025), </w:t>
      </w:r>
      <w:r w:rsidRPr="00BB298D">
        <w:rPr>
          <w:i/>
          <w:iCs/>
        </w:rPr>
        <w:t>available at</w:t>
      </w:r>
      <w:r>
        <w:t xml:space="preserve"> </w:t>
      </w:r>
      <w:r w:rsidRPr="002D099D">
        <w:rPr/>
        <w:t>https://atlasinstitute.org/the-5-3-trillion-question-how-south-china-sea-tensions-are-rewriting-global-trade-rules/</w:t>
      </w:r>
      <w:r>
        <w:t xml:space="preserve"> (“</w:t>
      </w:r>
      <w:r w:rsidRPr="00D517F7">
        <w:t xml:space="preserve">24% of global maritime trade passing through </w:t>
      </w:r>
      <w:r>
        <w:t>[South China Sea]</w:t>
      </w:r>
      <w:r w:rsidRPr="00D517F7">
        <w:t xml:space="preserve"> in 2023</w:t>
      </w:r>
      <w:r>
        <w:t xml:space="preserve">”); U.S. Energy Information Administration (EIA), “Regional Analysis Brief: South China Sea” (21 Mar. 2024), </w:t>
      </w:r>
      <w:r w:rsidRPr="00BB298D">
        <w:rPr>
          <w:i/>
          <w:iCs/>
        </w:rPr>
        <w:t>available at</w:t>
      </w:r>
      <w:r>
        <w:t xml:space="preserve"> </w:t>
      </w:r>
      <w:r w:rsidRPr="00133448">
        <w:rPr/>
        <w:t>https://www.eia.gov/international/content/analysis/regions_of_interest/South_China_Sea/south_china_sea.pdf</w:t>
      </w:r>
      <w:r>
        <w:t>, p. 22 (“</w:t>
      </w:r>
      <w:r w:rsidRPr="00EE3974">
        <w:t>The South China Sea is a critical world trade route, with 21% of global trade ($3.4 trillion dollars)</w:t>
      </w:r>
      <w:r>
        <w:t xml:space="preserve">”). </w:t>
      </w:r>
      <w:r w:rsidRPr="00BB298D">
        <w:rPr>
          <w:i/>
          <w:iCs/>
        </w:rPr>
        <w:t>See also</w:t>
      </w:r>
      <w:r>
        <w:t xml:space="preserve"> United Nations Trade and Development, “Review of Maritime Transport 2025” (2025), </w:t>
      </w:r>
      <w:r w:rsidRPr="00BB298D">
        <w:rPr>
          <w:i/>
          <w:iCs/>
        </w:rPr>
        <w:t>available at</w:t>
      </w:r>
      <w:r>
        <w:t xml:space="preserve"> </w:t>
      </w:r>
      <w:r w:rsidRPr="002D099D">
        <w:rPr/>
        <w:t>https://unctad.org/system/files/official-document/rmt2025_en.pdf</w:t>
      </w:r>
      <w:r>
        <w:t xml:space="preserve">. </w:t>
      </w:r>
    </w:p>
  </w:footnote>
  <w:footnote w:id="5">
    <w:p w:rsidR="00D578CC" w:rsidP="00D578CC" w:rsidRDefault="00D578CC">
      <w:pPr>
        <w:pStyle w:val="FootnoteText"/>
        <w:spacing w:after="120"/>
      </w:pPr>
      <w:r>
        <w:rPr>
          <w:rStyle w:val="FootnoteReference"/>
        </w:rPr>
        <w:footnoteRef/>
      </w:r>
      <w:r>
        <w:t xml:space="preserve"> Asia Maritime Transparency Initiative, South China Sea Features, </w:t>
      </w:r>
      <w:r w:rsidRPr="00BB298D">
        <w:rPr>
          <w:i/>
          <w:iCs/>
        </w:rPr>
        <w:t>available at</w:t>
      </w:r>
      <w:r>
        <w:t xml:space="preserve"> </w:t>
      </w:r>
      <w:r w:rsidRPr="002D099D">
        <w:rPr/>
        <w:t>https://amti.csis.org/scs-features-map/</w:t>
      </w:r>
      <w:r>
        <w:t xml:space="preserve"> (last accessed 6 Jan. 2025).</w:t>
      </w:r>
    </w:p>
  </w:footnote>
  <w:footnote w:id="6">
    <w:p w:rsidR="00D578CC" w:rsidP="00D578CC" w:rsidRDefault="00D578CC">
      <w:pPr>
        <w:pStyle w:val="FootnoteText"/>
        <w:spacing w:after="120"/>
      </w:pPr>
      <w:r>
        <w:rPr>
          <w:rStyle w:val="FootnoteReference"/>
        </w:rPr>
        <w:footnoteRef/>
      </w:r>
      <w:r>
        <w:t xml:space="preserve"> </w:t>
      </w:r>
      <w:r w:rsidRPr="00BB298D">
        <w:rPr>
          <w:i/>
          <w:iCs/>
        </w:rPr>
        <w:t>See, e.g.</w:t>
      </w:r>
      <w:r>
        <w:t xml:space="preserve">, </w:t>
      </w:r>
      <w:r w:rsidRPr="00EE3974">
        <w:t xml:space="preserve">US </w:t>
      </w:r>
      <w:r>
        <w:t>Navy</w:t>
      </w:r>
      <w:r w:rsidRPr="00EE3974">
        <w:t>, Press Statement, “U.S. Navy Destroyer Conducts Freedom of Navigation Operation in the South China Sea” (</w:t>
      </w:r>
      <w:r>
        <w:t>14 May 2024</w:t>
      </w:r>
      <w:r w:rsidRPr="00EE3974">
        <w:t>)</w:t>
      </w:r>
      <w:r>
        <w:t xml:space="preserve">, </w:t>
      </w:r>
      <w:r w:rsidRPr="00BB298D">
        <w:rPr>
          <w:i/>
          <w:iCs/>
        </w:rPr>
        <w:t>available at</w:t>
      </w:r>
      <w:r>
        <w:t xml:space="preserve"> </w:t>
      </w:r>
      <w:r w:rsidRPr="002D099D">
        <w:rPr/>
        <w:t>https://www.navy.mil/Press-Office/News-Stories/Article/3771407/us-navy-destroyer-conducts-freedom-of-navigation-operation-in-the-south-china-s/</w:t>
      </w:r>
      <w:r>
        <w:t xml:space="preserve">. </w:t>
      </w:r>
      <w:r w:rsidRPr="00BB298D">
        <w:rPr>
          <w:i/>
          <w:iCs/>
        </w:rPr>
        <w:t>See also</w:t>
      </w:r>
      <w:r>
        <w:t xml:space="preserve"> E. </w:t>
      </w:r>
      <w:r w:rsidRPr="00EE3974">
        <w:t>Freund</w:t>
      </w:r>
      <w:r>
        <w:t xml:space="preserve">, </w:t>
      </w:r>
      <w:r w:rsidRPr="00EE3974">
        <w:t>“Freedom of Navigation in the South China Sea: A Practical Guide</w:t>
      </w:r>
      <w:r>
        <w:t>,</w:t>
      </w:r>
      <w:r w:rsidRPr="00EE3974">
        <w:t xml:space="preserve">” </w:t>
      </w:r>
      <w:r w:rsidRPr="00BB298D">
        <w:rPr>
          <w:i/>
          <w:iCs/>
        </w:rPr>
        <w:t>Harvard Kennedy School Belfer Center for Science and International Affairs</w:t>
      </w:r>
      <w:r>
        <w:t xml:space="preserve"> (</w:t>
      </w:r>
      <w:r w:rsidRPr="00EE3974">
        <w:t>Jun</w:t>
      </w:r>
      <w:r>
        <w:t>.</w:t>
      </w:r>
      <w:r w:rsidRPr="00EE3974">
        <w:t xml:space="preserve"> 2017</w:t>
      </w:r>
      <w:r>
        <w:t xml:space="preserve">), </w:t>
      </w:r>
      <w:r w:rsidRPr="00BB298D">
        <w:rPr>
          <w:i/>
          <w:iCs/>
        </w:rPr>
        <w:t>available at</w:t>
      </w:r>
      <w:r>
        <w:t xml:space="preserve"> </w:t>
      </w:r>
      <w:r w:rsidRPr="002D099D">
        <w:rPr/>
        <w:t>https://www.belfercenter.org/publication/freedom-navigation-south-china-sea-practical-guide</w:t>
      </w:r>
      <w:r>
        <w:t>; M. Swaine, “</w:t>
      </w:r>
      <w:r w:rsidRPr="00EE3974">
        <w:t>America’s Security Role in the South China Sea</w:t>
      </w:r>
      <w:r>
        <w:t xml:space="preserve">,” </w:t>
      </w:r>
      <w:r w:rsidRPr="00BB298D">
        <w:rPr>
          <w:i/>
          <w:iCs/>
        </w:rPr>
        <w:t>Carnegie Endowment for Peace</w:t>
      </w:r>
      <w:r>
        <w:t xml:space="preserve"> (23 Jul. 2015), </w:t>
      </w:r>
      <w:r w:rsidRPr="00BB298D">
        <w:rPr>
          <w:i/>
          <w:iCs/>
        </w:rPr>
        <w:t>available at</w:t>
      </w:r>
      <w:r>
        <w:t xml:space="preserve"> </w:t>
      </w:r>
      <w:r w:rsidRPr="002D099D">
        <w:rPr/>
        <w:t>https://carnegieendowment.org/posts/2015/07/americas-security-role-in-the-south-china-sea?lang=en</w:t>
      </w:r>
      <w:r>
        <w:t xml:space="preserve">. </w:t>
      </w:r>
    </w:p>
  </w:footnote>
  <w:footnote w:id="7">
    <w:p w:rsidRPr="00232CB8" w:rsidR="00D578CC" w:rsidP="00D578CC" w:rsidRDefault="00D578CC">
      <w:pPr>
        <w:pStyle w:val="FootnoteText"/>
        <w:spacing w:after="120"/>
        <w:rPr>
          <w:rFonts w:cs="Times New Roman"/>
        </w:rPr>
      </w:pPr>
      <w:r>
        <w:rPr>
          <w:rStyle w:val="FootnoteReference"/>
        </w:rPr>
        <w:footnoteRef/>
      </w:r>
      <w:r>
        <w:t xml:space="preserve"> </w:t>
      </w:r>
      <w:r w:rsidRPr="00EE7048">
        <w:rPr>
          <w:rFonts w:cs="Times New Roman"/>
        </w:rPr>
        <w:t>The South China Sea Arbitration (The Republic of Philippines v. The People</w:t>
      </w:r>
      <w:r>
        <w:rPr>
          <w:rFonts w:cs="Times New Roman"/>
        </w:rPr>
        <w:t>’</w:t>
      </w:r>
      <w:r w:rsidRPr="00EE7048">
        <w:rPr>
          <w:rFonts w:cs="Times New Roman"/>
        </w:rPr>
        <w:t>s Republic of China)</w:t>
      </w:r>
      <w:r>
        <w:rPr>
          <w:rFonts w:cs="Times New Roman"/>
        </w:rPr>
        <w:t xml:space="preserve">, </w:t>
      </w:r>
      <w:r w:rsidRPr="00EE7048">
        <w:rPr>
          <w:rFonts w:cs="Times New Roman"/>
        </w:rPr>
        <w:t>PCA Case N</w:t>
      </w:r>
      <w:r>
        <w:rPr>
          <w:rFonts w:cs="Times New Roman"/>
        </w:rPr>
        <w:t>o.</w:t>
      </w:r>
      <w:r w:rsidRPr="00EE7048">
        <w:rPr>
          <w:rFonts w:cs="Times New Roman"/>
        </w:rPr>
        <w:t xml:space="preserve"> 2013-19, </w:t>
      </w:r>
      <w:r w:rsidRPr="00F77D22">
        <w:rPr>
          <w:rFonts w:cs="Times New Roman"/>
          <w:i/>
          <w:iCs/>
        </w:rPr>
        <w:t>available at</w:t>
      </w:r>
      <w:r>
        <w:rPr>
          <w:rFonts w:cs="Times New Roman"/>
        </w:rPr>
        <w:t xml:space="preserve"> </w:t>
      </w:r>
      <w:r w:rsidRPr="00EE7048">
        <w:rPr/>
        <w:t>https://pca-cpa.org/cn/cases/7/</w:t>
      </w:r>
      <w:r>
        <w:t xml:space="preserve"> (last accessed 6 Jan. 2026). </w:t>
      </w:r>
    </w:p>
  </w:footnote>
  <w:footnote w:id="8">
    <w:p w:rsidR="00D578CC" w:rsidP="00D578CC" w:rsidRDefault="00D578CC">
      <w:pPr>
        <w:pStyle w:val="FootnoteText"/>
        <w:spacing w:after="120"/>
        <w:rPr>
          <w:rFonts w:cs="Times New Roman"/>
        </w:rPr>
      </w:pPr>
      <w:r>
        <w:rPr>
          <w:rStyle w:val="FootnoteReference"/>
        </w:rPr>
        <w:footnoteRef/>
      </w:r>
      <w:r>
        <w:t xml:space="preserve"> </w:t>
      </w:r>
      <w:r w:rsidRPr="00BB298D">
        <w:rPr>
          <w:i/>
          <w:iCs/>
        </w:rPr>
        <w:t>See</w:t>
      </w:r>
      <w:r>
        <w:rPr>
          <w:i/>
          <w:iCs/>
        </w:rPr>
        <w:t xml:space="preserve"> </w:t>
      </w:r>
      <w:r w:rsidRPr="00F77D22">
        <w:rPr>
          <w:rFonts w:cs="Times New Roman"/>
          <w:i/>
          <w:iCs/>
        </w:rPr>
        <w:t>The South China Sea Arbitration (The Republic of Philippines v. The People’s Republic of China)</w:t>
      </w:r>
      <w:r>
        <w:rPr>
          <w:rFonts w:cs="Times New Roman"/>
        </w:rPr>
        <w:t xml:space="preserve">, </w:t>
      </w:r>
      <w:r w:rsidRPr="00EE7048">
        <w:rPr>
          <w:rFonts w:cs="Times New Roman"/>
        </w:rPr>
        <w:t>PCA Case N</w:t>
      </w:r>
      <w:r>
        <w:rPr>
          <w:rFonts w:cs="Times New Roman"/>
        </w:rPr>
        <w:t>o.</w:t>
      </w:r>
      <w:r w:rsidRPr="00EE7048">
        <w:rPr>
          <w:rFonts w:cs="Times New Roman"/>
        </w:rPr>
        <w:t xml:space="preserve"> 2013-19,</w:t>
      </w:r>
      <w:r>
        <w:rPr>
          <w:rFonts w:cs="Times New Roman"/>
        </w:rPr>
        <w:t xml:space="preserve"> Philippines’ Memorial, Volume VI (30 Mar. 2014)</w:t>
      </w:r>
      <w:r w:rsidRPr="00EE7048">
        <w:rPr>
          <w:rFonts w:cs="Times New Roman"/>
        </w:rPr>
        <w:t xml:space="preserve"> </w:t>
      </w:r>
      <w:r w:rsidRPr="00F77D22">
        <w:rPr>
          <w:rFonts w:cs="Times New Roman"/>
          <w:i/>
          <w:iCs/>
        </w:rPr>
        <w:t>availab</w:t>
      </w:r>
      <w:r>
        <w:rPr>
          <w:rFonts w:cs="Times New Roman"/>
          <w:i/>
          <w:iCs/>
        </w:rPr>
        <w:t xml:space="preserve">le at </w:t>
      </w:r>
      <w:r w:rsidRPr="00BB298D">
        <w:rPr>
          <w:rFonts w:cs="Times New Roman"/>
        </w:rPr>
        <w:t>https://files.pca-cpa.org/pcadocs/The%20Philippines%27%20Memorial%20-%20Volume%20VI%20%28Annexes%20158-221%29.pdf</w:t>
      </w:r>
      <w:r w:rsidRPr="00BB298D">
        <w:rPr>
          <w:rFonts w:cs="Times New Roman"/>
        </w:rPr>
        <w:t>, Annexes</w:t>
      </w:r>
      <w:r>
        <w:rPr>
          <w:rFonts w:cs="Times New Roman"/>
        </w:rPr>
        <w:t xml:space="preserve"> 198-200, 206, 209-210, 219, 221; </w:t>
      </w:r>
      <w:r w:rsidRPr="00F77D22">
        <w:rPr>
          <w:rFonts w:cs="Times New Roman"/>
          <w:i/>
          <w:iCs/>
        </w:rPr>
        <w:t>The South China Sea Arbitration (The Republic of Philippines v. The People’s Republic of China)</w:t>
      </w:r>
      <w:r>
        <w:rPr>
          <w:rFonts w:cs="Times New Roman"/>
        </w:rPr>
        <w:t xml:space="preserve">, </w:t>
      </w:r>
      <w:r w:rsidRPr="00EE7048">
        <w:rPr>
          <w:rFonts w:cs="Times New Roman"/>
        </w:rPr>
        <w:t>PCA Case N</w:t>
      </w:r>
      <w:r>
        <w:rPr>
          <w:rFonts w:cs="Times New Roman"/>
        </w:rPr>
        <w:t>o.</w:t>
      </w:r>
      <w:r w:rsidRPr="00EE7048">
        <w:rPr>
          <w:rFonts w:cs="Times New Roman"/>
        </w:rPr>
        <w:t xml:space="preserve"> 2013-19,</w:t>
      </w:r>
      <w:r>
        <w:rPr>
          <w:rFonts w:cs="Times New Roman"/>
        </w:rPr>
        <w:t xml:space="preserve"> Philippines’ Memorial, Volume IV (30 Mar. 2014)</w:t>
      </w:r>
      <w:r w:rsidRPr="00EE7048">
        <w:rPr>
          <w:rFonts w:cs="Times New Roman"/>
        </w:rPr>
        <w:t xml:space="preserve"> </w:t>
      </w:r>
      <w:r w:rsidRPr="00F77D22">
        <w:rPr>
          <w:rFonts w:cs="Times New Roman"/>
          <w:i/>
          <w:iCs/>
        </w:rPr>
        <w:t>availab</w:t>
      </w:r>
      <w:r>
        <w:rPr>
          <w:rFonts w:cs="Times New Roman"/>
          <w:i/>
          <w:iCs/>
        </w:rPr>
        <w:t>le at</w:t>
      </w:r>
      <w:r>
        <w:t xml:space="preserve"> </w:t>
      </w:r>
      <w:r w:rsidRPr="002D099D">
        <w:rPr/>
        <w:t>https://files.pca-cpa.org/pcadocs/The%20Philippines%27%20Memorial%20-%20Volume%20IV%20%28Annexes%2061-102%29.pdf</w:t>
      </w:r>
      <w:r>
        <w:t>, Annex 83.</w:t>
      </w:r>
      <w:r>
        <w:rPr>
          <w:rFonts w:cs="Times New Roman"/>
        </w:rPr>
        <w:t xml:space="preserve"> </w:t>
      </w:r>
    </w:p>
    <w:p w:rsidRPr="00232CB8" w:rsidR="00D578CC" w:rsidP="00D578CC" w:rsidRDefault="00D578CC">
      <w:pPr>
        <w:pStyle w:val="FootnoteText"/>
        <w:spacing w:after="120"/>
        <w:rPr>
          <w:rFonts w:cs="Times New Roman"/>
        </w:rPr>
      </w:pPr>
      <w:r w:rsidRPr="00BB298D">
        <w:rPr>
          <w:i/>
          <w:iCs/>
        </w:rPr>
        <w:t>See also</w:t>
      </w:r>
      <w:r>
        <w:t xml:space="preserve"> J. Hellman, “A Game of Shark And Minnow,” </w:t>
      </w:r>
      <w:r w:rsidRPr="00BB298D">
        <w:rPr>
          <w:i/>
          <w:iCs/>
        </w:rPr>
        <w:t>The New York Times</w:t>
      </w:r>
      <w:r>
        <w:t xml:space="preserve"> (27 Oct. 2013), </w:t>
      </w:r>
      <w:r w:rsidRPr="00BB298D">
        <w:rPr>
          <w:i/>
          <w:iCs/>
        </w:rPr>
        <w:t>available at</w:t>
      </w:r>
      <w:r>
        <w:t xml:space="preserve"> </w:t>
      </w:r>
      <w:r w:rsidRPr="006A00E9">
        <w:rPr/>
        <w:t>https://www.nytimes.com/newsgraphics/2013/10/27/south-china-sea/index.html</w:t>
      </w:r>
      <w:r>
        <w:t>; “</w:t>
      </w:r>
      <w:r w:rsidRPr="006A00E9">
        <w:t>Timeline: The China-Philippines South China Sea dispute</w:t>
      </w:r>
      <w:r>
        <w:t xml:space="preserve">,” </w:t>
      </w:r>
      <w:r w:rsidRPr="00BB298D">
        <w:rPr>
          <w:i/>
          <w:iCs/>
        </w:rPr>
        <w:t>Associated Press</w:t>
      </w:r>
      <w:r w:rsidRPr="006A00E9">
        <w:t xml:space="preserve"> (</w:t>
      </w:r>
      <w:r>
        <w:t>12 Jul. 2016</w:t>
      </w:r>
      <w:r w:rsidRPr="006A00E9">
        <w:t>)</w:t>
      </w:r>
      <w:r>
        <w:t xml:space="preserve">, </w:t>
      </w:r>
      <w:r w:rsidRPr="00BB298D">
        <w:rPr>
          <w:i/>
          <w:iCs/>
        </w:rPr>
        <w:t>available at</w:t>
      </w:r>
      <w:r>
        <w:t xml:space="preserve"> </w:t>
      </w:r>
      <w:r w:rsidRPr="002D099D">
        <w:rPr/>
        <w:t>https://apnews.com/national-national-general-news-bcd47429a69240af81544554a78fd138#</w:t>
      </w:r>
      <w:r>
        <w:t xml:space="preserve">. </w:t>
      </w:r>
    </w:p>
  </w:footnote>
  <w:footnote w:id="9">
    <w:p w:rsidR="00D578CC" w:rsidP="00D578CC" w:rsidRDefault="00D578CC">
      <w:pPr>
        <w:pStyle w:val="FootnoteText"/>
        <w:spacing w:after="120"/>
      </w:pPr>
      <w:r>
        <w:rPr>
          <w:rStyle w:val="FootnoteReference"/>
        </w:rPr>
        <w:footnoteRef/>
      </w:r>
      <w:r>
        <w:t xml:space="preserve"> International Tribunal for the Law of the Sea, “</w:t>
      </w:r>
      <w:r w:rsidRPr="00EE7048">
        <w:t xml:space="preserve">Declarations made by States Parties under </w:t>
      </w:r>
      <w:r>
        <w:t>A</w:t>
      </w:r>
      <w:r w:rsidRPr="00EE7048">
        <w:t>rticle 298</w:t>
      </w:r>
      <w:r>
        <w:t xml:space="preserve">,” </w:t>
      </w:r>
      <w:r w:rsidRPr="006650F1">
        <w:rPr>
          <w:i/>
          <w:iCs/>
        </w:rPr>
        <w:t>available at</w:t>
      </w:r>
      <w:r>
        <w:t xml:space="preserve"> </w:t>
      </w:r>
      <w:r w:rsidRPr="002D099D">
        <w:rPr/>
        <w:t>https://www.itlos.org/en/main/jurisdiction/declarations-of-states-parties/declarations-made-by-states-parties-under-article-298/</w:t>
      </w:r>
      <w:r>
        <w:t xml:space="preserve"> (last accessed 6 Jan. 2026). </w:t>
      </w:r>
    </w:p>
  </w:footnote>
  <w:footnote w:id="10">
    <w:p w:rsidR="00D578CC" w:rsidP="00D578CC" w:rsidRDefault="00D578CC">
      <w:pPr>
        <w:pStyle w:val="FootnoteText"/>
        <w:spacing w:after="120"/>
      </w:pPr>
      <w:r>
        <w:rPr>
          <w:rStyle w:val="FootnoteReference"/>
        </w:rPr>
        <w:footnoteRef/>
      </w:r>
      <w:r>
        <w:t xml:space="preserve"> </w:t>
      </w:r>
      <w:r w:rsidRPr="007571B3">
        <w:t xml:space="preserve">All written submissions of the Republic of the Philippines in the South China Sea </w:t>
      </w:r>
      <w:r>
        <w:rPr>
          <w:caps/>
        </w:rPr>
        <w:t>A</w:t>
      </w:r>
      <w:r w:rsidRPr="007571B3">
        <w:t>rbitration are publicly available on the Permanent Court of Arbitration (PCA) website</w:t>
      </w:r>
      <w:r>
        <w:t xml:space="preserve">. </w:t>
      </w:r>
      <w:r w:rsidRPr="00BB298D">
        <w:rPr>
          <w:i/>
          <w:iCs/>
        </w:rPr>
        <w:t>See</w:t>
      </w:r>
      <w:r>
        <w:t xml:space="preserve"> </w:t>
      </w:r>
      <w:r w:rsidRPr="00EE7048">
        <w:rPr>
          <w:rFonts w:cs="Times New Roman"/>
        </w:rPr>
        <w:t>The South China Sea Arbitration (The Republic of Philippines v. The People</w:t>
      </w:r>
      <w:r>
        <w:rPr>
          <w:rFonts w:cs="Times New Roman"/>
        </w:rPr>
        <w:t>’</w:t>
      </w:r>
      <w:r w:rsidRPr="00EE7048">
        <w:rPr>
          <w:rFonts w:cs="Times New Roman"/>
        </w:rPr>
        <w:t>s Republic of China)</w:t>
      </w:r>
      <w:r>
        <w:rPr>
          <w:rFonts w:cs="Times New Roman"/>
        </w:rPr>
        <w:t xml:space="preserve">, </w:t>
      </w:r>
      <w:r w:rsidRPr="00EE7048">
        <w:rPr>
          <w:rFonts w:cs="Times New Roman"/>
        </w:rPr>
        <w:t>PCA Case N</w:t>
      </w:r>
      <w:r>
        <w:rPr>
          <w:rFonts w:cs="Times New Roman"/>
        </w:rPr>
        <w:t>o.</w:t>
      </w:r>
      <w:r w:rsidRPr="00EE7048">
        <w:rPr>
          <w:rFonts w:cs="Times New Roman"/>
        </w:rPr>
        <w:t xml:space="preserve"> 2013-19, </w:t>
      </w:r>
      <w:r w:rsidRPr="00F77D22">
        <w:rPr>
          <w:rFonts w:cs="Times New Roman"/>
          <w:i/>
          <w:iCs/>
        </w:rPr>
        <w:t>available at</w:t>
      </w:r>
      <w:r>
        <w:rPr>
          <w:rFonts w:cs="Times New Roman"/>
        </w:rPr>
        <w:t xml:space="preserve"> </w:t>
      </w:r>
      <w:r w:rsidRPr="00EE7048">
        <w:rPr/>
        <w:t>https://pca-cpa.org/cn/cases/7/</w:t>
      </w:r>
      <w:r>
        <w:t xml:space="preserve"> (last accessed 6 Jan. 2026).</w:t>
      </w:r>
    </w:p>
  </w:footnote>
  <w:footnote w:id="11">
    <w:p w:rsidR="00D578CC" w:rsidP="00D578CC" w:rsidRDefault="00D578CC">
      <w:pPr>
        <w:pStyle w:val="FootnoteText"/>
        <w:spacing w:after="120"/>
      </w:pPr>
      <w:r>
        <w:rPr>
          <w:rStyle w:val="FootnoteReference"/>
        </w:rPr>
        <w:footnoteRef/>
      </w:r>
      <w:r>
        <w:t xml:space="preserve"> </w:t>
      </w:r>
      <w:r w:rsidRPr="00BB298D">
        <w:rPr>
          <w:rFonts w:cs="Times New Roman"/>
          <w:i/>
          <w:iCs/>
        </w:rPr>
        <w:t>The South China Sea Arbitration (The Republic of Philippines v. The People’s Republic of China)</w:t>
      </w:r>
      <w:r>
        <w:rPr>
          <w:rFonts w:cs="Times New Roman"/>
        </w:rPr>
        <w:t xml:space="preserve">, </w:t>
      </w:r>
      <w:r w:rsidRPr="00EE7048">
        <w:rPr>
          <w:rFonts w:cs="Times New Roman"/>
        </w:rPr>
        <w:t>PCA Case N</w:t>
      </w:r>
      <w:r>
        <w:rPr>
          <w:rFonts w:cs="Times New Roman"/>
        </w:rPr>
        <w:t>o.</w:t>
      </w:r>
      <w:r w:rsidRPr="00EE7048">
        <w:rPr>
          <w:rFonts w:cs="Times New Roman"/>
        </w:rPr>
        <w:t xml:space="preserve"> 2013-19,</w:t>
      </w:r>
      <w:r>
        <w:rPr>
          <w:rFonts w:cs="Times New Roman"/>
        </w:rPr>
        <w:t xml:space="preserve"> Award (Mensah, Cot, Pawlak, Soons, Wolfrum) (12 Jul. 2016),</w:t>
      </w:r>
      <w:r w:rsidRPr="00EE7048">
        <w:rPr>
          <w:rFonts w:cs="Times New Roman"/>
        </w:rPr>
        <w:t xml:space="preserve"> </w:t>
      </w:r>
      <w:r w:rsidRPr="00F77D22">
        <w:rPr>
          <w:rFonts w:cs="Times New Roman"/>
          <w:i/>
          <w:iCs/>
        </w:rPr>
        <w:t>available at</w:t>
      </w:r>
      <w:r>
        <w:t xml:space="preserve"> </w:t>
      </w:r>
      <w:r w:rsidRPr="002D099D">
        <w:rPr/>
        <w:t>https://pcacases.com/web/sendAttach/2086</w:t>
      </w:r>
      <w:r>
        <w:t xml:space="preserve">. </w:t>
      </w:r>
    </w:p>
  </w:footnote>
  <w:footnote w:id="12">
    <w:p w:rsidR="00D578CC" w:rsidP="00D578CC" w:rsidRDefault="00D578CC">
      <w:pPr>
        <w:pStyle w:val="FootnoteText"/>
        <w:spacing w:after="120"/>
      </w:pPr>
      <w:r>
        <w:rPr>
          <w:rStyle w:val="FootnoteReference"/>
        </w:rPr>
        <w:footnoteRef/>
      </w:r>
      <w:r>
        <w:t xml:space="preserve"> </w:t>
      </w:r>
      <w:r w:rsidRPr="00BB298D">
        <w:rPr>
          <w:i/>
          <w:iCs/>
        </w:rPr>
        <w:t>Id.</w:t>
      </w:r>
      <w:r>
        <w:t xml:space="preserve">, </w:t>
      </w:r>
      <w:r w:rsidRPr="007571B3">
        <w:t>¶¶</w:t>
      </w:r>
      <w:r>
        <w:t xml:space="preserve"> 697, 716.</w:t>
      </w:r>
    </w:p>
  </w:footnote>
  <w:footnote w:id="13">
    <w:p w:rsidR="00D578CC" w:rsidP="00D578CC" w:rsidRDefault="00D578CC">
      <w:pPr>
        <w:pStyle w:val="FootnoteText"/>
        <w:spacing w:after="120"/>
      </w:pPr>
      <w:r>
        <w:rPr>
          <w:rStyle w:val="FootnoteReference"/>
        </w:rPr>
        <w:footnoteRef/>
      </w:r>
      <w:r>
        <w:t xml:space="preserve"> </w:t>
      </w:r>
      <w:r w:rsidRPr="00F77D22">
        <w:rPr>
          <w:i/>
          <w:iCs/>
        </w:rPr>
        <w:t>Id.</w:t>
      </w:r>
      <w:r>
        <w:t xml:space="preserve">, </w:t>
      </w:r>
      <w:r w:rsidRPr="007571B3">
        <w:t>¶</w:t>
      </w:r>
      <w:r>
        <w:t xml:space="preserve"> 956 (“</w:t>
      </w:r>
      <w:r w:rsidRPr="007571B3">
        <w:t xml:space="preserve">Article 192 </w:t>
      </w:r>
      <w:r>
        <w:t xml:space="preserve">[of the Convention] </w:t>
      </w:r>
      <w:r w:rsidRPr="007571B3">
        <w:t xml:space="preserve">includes a due diligence obligation to prevent the harvesting of species that are </w:t>
      </w:r>
      <w:proofErr w:type="spellStart"/>
      <w:r w:rsidRPr="007571B3">
        <w:t>recognised</w:t>
      </w:r>
      <w:proofErr w:type="spellEnd"/>
      <w:r w:rsidRPr="007571B3">
        <w:t xml:space="preserve"> internationally as being at risk of extinction and requiring international protection</w:t>
      </w:r>
      <w:r>
        <w:t xml:space="preserve">.”), </w:t>
      </w:r>
      <w:r w:rsidRPr="007571B3">
        <w:t>¶</w:t>
      </w:r>
      <w:r>
        <w:t xml:space="preserve"> 959 (“</w:t>
      </w:r>
      <w:r w:rsidRPr="007571B3">
        <w:t>Article 192 extends to the prevention of harms that would affect depleted, threatened, or endangered species indirectly through the destruction of their habitat</w:t>
      </w:r>
      <w:r>
        <w:t xml:space="preserve">.”), </w:t>
      </w:r>
      <w:r w:rsidRPr="007571B3">
        <w:t>¶</w:t>
      </w:r>
      <w:r>
        <w:t xml:space="preserve"> 991 (“</w:t>
      </w:r>
      <w:r w:rsidRPr="007571B3">
        <w:t>To fulfil the</w:t>
      </w:r>
      <w:r>
        <w:t xml:space="preserve"> </w:t>
      </w:r>
      <w:r w:rsidRPr="007571B3">
        <w:t>obligations of Article 206</w:t>
      </w:r>
      <w:r>
        <w:t xml:space="preserve"> [of the Convention]</w:t>
      </w:r>
      <w:r w:rsidRPr="007571B3">
        <w:t>, a State must not only prepare an EIA but also must communicate it.</w:t>
      </w:r>
      <w:r>
        <w:t xml:space="preserve">”); </w:t>
      </w:r>
      <w:r w:rsidRPr="007571B3">
        <w:t>¶</w:t>
      </w:r>
      <w:r>
        <w:t xml:space="preserve"> 1043 (“the Tribunal finds that China has, through its construction of installations and artificial islands at Mischief Reef … breached Articles 60 and 80 of the Convention.”).</w:t>
      </w:r>
    </w:p>
  </w:footnote>
  <w:footnote w:id="14">
    <w:p w:rsidR="00D578CC" w:rsidP="00D578CC" w:rsidRDefault="00D578CC">
      <w:pPr>
        <w:pStyle w:val="FootnoteText"/>
        <w:spacing w:after="120"/>
      </w:pPr>
      <w:r>
        <w:rPr>
          <w:rStyle w:val="FootnoteReference"/>
        </w:rPr>
        <w:footnoteRef/>
      </w:r>
      <w:r>
        <w:t xml:space="preserve"> United Nations News, “</w:t>
      </w:r>
      <w:r w:rsidRPr="00F0195C">
        <w:t>Chagos Islands: UK’s last African colony returned to Mauritius</w:t>
      </w:r>
      <w:r>
        <w:t xml:space="preserve">,” (3 Oct. 2024), </w:t>
      </w:r>
      <w:r w:rsidRPr="00BB298D">
        <w:rPr>
          <w:i/>
          <w:iCs/>
        </w:rPr>
        <w:t>available at</w:t>
      </w:r>
      <w:r>
        <w:t xml:space="preserve"> </w:t>
      </w:r>
      <w:r w:rsidRPr="002D099D">
        <w:rPr/>
        <w:t>https://news.un.org/en/story/2024/10/1155326</w:t>
      </w:r>
      <w:r>
        <w:t xml:space="preserve"> (“</w:t>
      </w:r>
      <w:r w:rsidRPr="00F0195C">
        <w:t xml:space="preserve">The UK </w:t>
      </w:r>
      <w:r>
        <w:t>…</w:t>
      </w:r>
      <w:r w:rsidRPr="00F0195C">
        <w:t xml:space="preserve"> government</w:t>
      </w:r>
      <w:r>
        <w:t>[]</w:t>
      </w:r>
      <w:r w:rsidRPr="00F0195C">
        <w:t xml:space="preserve"> forcibly displaced the </w:t>
      </w:r>
      <w:proofErr w:type="spellStart"/>
      <w:r w:rsidRPr="00F0195C">
        <w:t>Chagossian</w:t>
      </w:r>
      <w:proofErr w:type="spellEnd"/>
      <w:r w:rsidRPr="00F0195C">
        <w:t xml:space="preserve"> population between 1967 and 1973 </w:t>
      </w:r>
      <w:r>
        <w:t>…</w:t>
      </w:r>
      <w:r w:rsidRPr="00F0195C">
        <w:t xml:space="preserve"> on Diego Garcia</w:t>
      </w:r>
      <w:r>
        <w:t>”).</w:t>
      </w:r>
    </w:p>
  </w:footnote>
  <w:footnote w:id="15">
    <w:p w:rsidR="00D578CC" w:rsidP="00D578CC" w:rsidRDefault="00D578CC">
      <w:pPr>
        <w:pStyle w:val="FootnoteText"/>
        <w:spacing w:after="120"/>
      </w:pPr>
      <w:r>
        <w:rPr>
          <w:rStyle w:val="FootnoteReference"/>
        </w:rPr>
        <w:footnoteRef/>
      </w:r>
      <w:r>
        <w:t xml:space="preserve"> M. Landler, “</w:t>
      </w:r>
      <w:r w:rsidRPr="00077C18">
        <w:t>U.K. to Hand Over Chagos Islands to Mauritius, Ending Colonial-Era Dispute</w:t>
      </w:r>
      <w:r>
        <w:t xml:space="preserve">,” </w:t>
      </w:r>
      <w:r w:rsidRPr="00BB298D">
        <w:rPr>
          <w:i/>
          <w:iCs/>
        </w:rPr>
        <w:t>The New York Times</w:t>
      </w:r>
      <w:r>
        <w:t xml:space="preserve"> (3 Oct. 2024</w:t>
      </w:r>
      <w:r w:rsidRPr="00077C18">
        <w:t>),</w:t>
      </w:r>
      <w:r w:rsidRPr="00BB298D">
        <w:rPr>
          <w:i/>
          <w:iCs/>
        </w:rPr>
        <w:t xml:space="preserve"> available at</w:t>
      </w:r>
      <w:r>
        <w:t xml:space="preserve"> </w:t>
      </w:r>
      <w:r w:rsidRPr="002D099D">
        <w:rPr/>
        <w:t>https://www.nytimes.com/2024/10/03/world/europe/uk-chagos-islands-mauritius.html</w:t>
      </w:r>
      <w:r>
        <w:t xml:space="preserve">. </w:t>
      </w:r>
    </w:p>
  </w:footnote>
  <w:footnote w:id="16">
    <w:p w:rsidRPr="00232CB8" w:rsidR="00D578CC" w:rsidP="00D578CC" w:rsidRDefault="00D578CC">
      <w:pPr>
        <w:pStyle w:val="FootnoteText"/>
        <w:spacing w:after="120"/>
        <w:rPr>
          <w:rFonts w:cs="Times New Roman"/>
        </w:rPr>
      </w:pPr>
      <w:r>
        <w:rPr>
          <w:rStyle w:val="FootnoteReference"/>
        </w:rPr>
        <w:footnoteRef/>
      </w:r>
      <w:r>
        <w:t xml:space="preserve"> </w:t>
      </w:r>
      <w:r w:rsidRPr="00077C18">
        <w:t>Chagos Marine Protected Area Arbitration (Mauritius v. United Kingdom)</w:t>
      </w:r>
      <w:r>
        <w:t xml:space="preserve">, </w:t>
      </w:r>
      <w:r w:rsidRPr="00EE7048">
        <w:rPr>
          <w:rFonts w:cs="Times New Roman"/>
        </w:rPr>
        <w:t xml:space="preserve">PCA Case, </w:t>
      </w:r>
      <w:r w:rsidRPr="00F77D22">
        <w:rPr>
          <w:rFonts w:cs="Times New Roman"/>
          <w:i/>
          <w:iCs/>
        </w:rPr>
        <w:t>available at</w:t>
      </w:r>
      <w:r>
        <w:rPr>
          <w:rFonts w:cs="Times New Roman"/>
        </w:rPr>
        <w:t xml:space="preserve"> </w:t>
      </w:r>
      <w:r w:rsidRPr="002D099D">
        <w:rPr>
          <w:rFonts w:cs="Times New Roman"/>
        </w:rPr>
        <w:t>https://pca-cpa.org/en/cases/11/</w:t>
      </w:r>
      <w:r>
        <w:rPr>
          <w:rFonts w:cs="Times New Roman"/>
        </w:rPr>
        <w:t xml:space="preserve"> </w:t>
      </w:r>
      <w:r>
        <w:t xml:space="preserve">(last accessed 6 Jan. 2026). </w:t>
      </w:r>
    </w:p>
  </w:footnote>
  <w:footnote w:id="17">
    <w:p w:rsidR="00D578CC" w:rsidP="00D578CC" w:rsidRDefault="00D578CC">
      <w:pPr>
        <w:pStyle w:val="FootnoteText"/>
        <w:spacing w:after="120"/>
      </w:pPr>
      <w:r>
        <w:rPr>
          <w:rStyle w:val="FootnoteReference"/>
        </w:rPr>
        <w:footnoteRef/>
      </w:r>
      <w:r>
        <w:t xml:space="preserve"> </w:t>
      </w:r>
      <w:r w:rsidRPr="00BB298D">
        <w:rPr>
          <w:i/>
          <w:iCs/>
        </w:rPr>
        <w:t>Chagos Marine Protected Area Arbitration (Mauritius v. United Kingdom)</w:t>
      </w:r>
      <w:r>
        <w:t xml:space="preserve">, </w:t>
      </w:r>
      <w:r w:rsidRPr="00EE7048">
        <w:rPr>
          <w:rFonts w:cs="Times New Roman"/>
        </w:rPr>
        <w:t>PCA Case</w:t>
      </w:r>
      <w:r>
        <w:rPr>
          <w:rFonts w:cs="Times New Roman"/>
        </w:rPr>
        <w:t>, Award (</w:t>
      </w:r>
      <w:r w:rsidRPr="00077C18">
        <w:rPr>
          <w:rFonts w:cs="Times New Roman"/>
        </w:rPr>
        <w:t>Shearer AM</w:t>
      </w:r>
      <w:r>
        <w:rPr>
          <w:rFonts w:cs="Times New Roman"/>
        </w:rPr>
        <w:t>, Greenwood CMG, Hoffmann, Kateka, Wolfrum) (18 Mar. 2015)</w:t>
      </w:r>
      <w:r w:rsidRPr="00EE7048">
        <w:rPr>
          <w:rFonts w:cs="Times New Roman"/>
        </w:rPr>
        <w:t xml:space="preserve">, </w:t>
      </w:r>
      <w:r w:rsidRPr="00F77D22">
        <w:rPr>
          <w:rFonts w:cs="Times New Roman"/>
          <w:i/>
          <w:iCs/>
        </w:rPr>
        <w:t>available at</w:t>
      </w:r>
      <w:r>
        <w:rPr>
          <w:rFonts w:cs="Times New Roman"/>
        </w:rPr>
        <w:t xml:space="preserve"> </w:t>
      </w:r>
      <w:r w:rsidRPr="002D099D">
        <w:rPr>
          <w:rFonts w:cs="Times New Roman"/>
        </w:rPr>
        <w:t>https://files.pca-cpa.org/pcadocs/MU-UK%2020150318%20Award.pdf</w:t>
      </w:r>
      <w:r>
        <w:rPr>
          <w:rFonts w:cs="Times New Roman"/>
        </w:rPr>
        <w:t xml:space="preserve">. </w:t>
      </w:r>
    </w:p>
  </w:footnote>
  <w:footnote w:id="18">
    <w:p w:rsidRPr="00BB298D" w:rsidR="00D578CC" w:rsidP="00D578CC" w:rsidRDefault="00D578CC">
      <w:pPr>
        <w:pStyle w:val="FootnoteText"/>
        <w:spacing w:after="120"/>
        <w:rPr>
          <w:i/>
          <w:iCs/>
        </w:rPr>
      </w:pPr>
      <w:r>
        <w:rPr>
          <w:rStyle w:val="FootnoteReference"/>
        </w:rPr>
        <w:footnoteRef/>
      </w:r>
      <w:r>
        <w:t xml:space="preserve"> </w:t>
      </w:r>
      <w:r w:rsidRPr="001335F7">
        <w:t xml:space="preserve">United Nations General Assembly, </w:t>
      </w:r>
      <w:r w:rsidRPr="001335F7">
        <w:rPr>
          <w:i/>
          <w:iCs/>
        </w:rPr>
        <w:t>Request for an advisory opinion of the International Court of</w:t>
      </w:r>
      <w:r>
        <w:rPr>
          <w:i/>
          <w:iCs/>
        </w:rPr>
        <w:t xml:space="preserve"> </w:t>
      </w:r>
      <w:r w:rsidRPr="001335F7">
        <w:rPr>
          <w:i/>
          <w:iCs/>
        </w:rPr>
        <w:t>Justice on the legal consequences of the separation of the Chagos</w:t>
      </w:r>
      <w:r>
        <w:rPr>
          <w:i/>
          <w:iCs/>
        </w:rPr>
        <w:t xml:space="preserve"> </w:t>
      </w:r>
      <w:r w:rsidRPr="001335F7">
        <w:rPr>
          <w:i/>
          <w:iCs/>
        </w:rPr>
        <w:t>Archipelago from Mauritius in 1965</w:t>
      </w:r>
      <w:r w:rsidRPr="001335F7">
        <w:t>, U.N. Doc. A/</w:t>
      </w:r>
      <w:r>
        <w:t xml:space="preserve">71/L.73 (15 Jun. 2017), </w:t>
      </w:r>
      <w:r w:rsidRPr="00BB298D">
        <w:rPr>
          <w:i/>
          <w:iCs/>
        </w:rPr>
        <w:t>available at</w:t>
      </w:r>
      <w:r>
        <w:t xml:space="preserve"> </w:t>
      </w:r>
      <w:r w:rsidRPr="002D099D">
        <w:rPr/>
        <w:t>https://docs.un.org/en/A/71/L.73</w:t>
      </w:r>
      <w:r>
        <w:t xml:space="preserve">. </w:t>
      </w:r>
    </w:p>
  </w:footnote>
  <w:footnote w:id="19">
    <w:p w:rsidR="00D578CC" w:rsidP="00D578CC" w:rsidRDefault="00D578CC">
      <w:pPr>
        <w:pStyle w:val="FootnoteText"/>
        <w:spacing w:after="120"/>
      </w:pPr>
      <w:r>
        <w:rPr>
          <w:rStyle w:val="FootnoteReference"/>
        </w:rPr>
        <w:footnoteRef/>
      </w:r>
      <w:r>
        <w:t xml:space="preserve"> </w:t>
      </w:r>
      <w:r w:rsidRPr="00BB298D">
        <w:rPr>
          <w:i/>
          <w:iCs/>
        </w:rPr>
        <w:t>Legal Consequences of the Separation of the Chagos Archipelago from Mauritius in 1965, Advisory Opinion, I.C.J Reports 2019</w:t>
      </w:r>
      <w:r>
        <w:t xml:space="preserve"> (25 Feb. 2019), </w:t>
      </w:r>
      <w:r w:rsidRPr="00BB298D">
        <w:rPr>
          <w:i/>
          <w:iCs/>
        </w:rPr>
        <w:t>available at</w:t>
      </w:r>
      <w:r>
        <w:t xml:space="preserve"> </w:t>
      </w:r>
      <w:r w:rsidRPr="002D099D">
        <w:rPr/>
        <w:t>https://www.icj-cij.org/sites/default/files/case-related/169/169-20190225-ADV-01-00-EN.pdf</w:t>
      </w:r>
      <w:r>
        <w:t xml:space="preserve">. </w:t>
      </w:r>
    </w:p>
  </w:footnote>
  <w:footnote w:id="20">
    <w:p w:rsidR="00D578CC" w:rsidP="00D578CC" w:rsidRDefault="00D578CC">
      <w:pPr>
        <w:pStyle w:val="FootnoteText"/>
        <w:spacing w:after="120"/>
      </w:pPr>
      <w:r>
        <w:rPr>
          <w:rStyle w:val="FootnoteReference"/>
        </w:rPr>
        <w:footnoteRef/>
      </w:r>
      <w:r>
        <w:t xml:space="preserve"> United Nations</w:t>
      </w:r>
      <w:r w:rsidRPr="001335F7">
        <w:t xml:space="preserve">, Press </w:t>
      </w:r>
      <w:r>
        <w:t>Release</w:t>
      </w:r>
      <w:r w:rsidRPr="001335F7">
        <w:rPr>
          <w:iCs/>
        </w:rPr>
        <w:t xml:space="preserve">, </w:t>
      </w:r>
      <w:r w:rsidRPr="001335F7">
        <w:t>“</w:t>
      </w:r>
      <w:r w:rsidRPr="001335F7">
        <w:rPr>
          <w:iCs/>
        </w:rPr>
        <w:t>General Assembly Welcomes International Court of Justice Opinion on Chagos Archipelago, Adopts Text Calling for Mauritius’ Complete Decolonization”</w:t>
      </w:r>
      <w:r w:rsidRPr="001335F7">
        <w:rPr>
          <w:i/>
        </w:rPr>
        <w:t xml:space="preserve"> </w:t>
      </w:r>
      <w:r w:rsidRPr="001335F7">
        <w:t>(</w:t>
      </w:r>
      <w:r>
        <w:t>22 May 2019</w:t>
      </w:r>
      <w:r w:rsidRPr="001335F7">
        <w:t>)</w:t>
      </w:r>
      <w:r>
        <w:t xml:space="preserve">, </w:t>
      </w:r>
      <w:r w:rsidRPr="00BB298D">
        <w:rPr>
          <w:i/>
          <w:iCs/>
        </w:rPr>
        <w:t>available at</w:t>
      </w:r>
      <w:r>
        <w:t xml:space="preserve"> </w:t>
      </w:r>
      <w:r w:rsidRPr="002D099D">
        <w:rPr/>
        <w:t>https://press.un.org/en/2019/ga12146.doc.htm</w:t>
      </w:r>
      <w:r>
        <w:t xml:space="preserve">. </w:t>
      </w:r>
    </w:p>
  </w:footnote>
  <w:footnote w:id="21">
    <w:p w:rsidRPr="00B76A66" w:rsidR="00D578CC" w:rsidP="00D578CC" w:rsidRDefault="00D578CC">
      <w:pPr>
        <w:pStyle w:val="FootnoteText"/>
        <w:spacing w:after="120"/>
        <w:rPr>
          <w:i/>
          <w:iCs/>
        </w:rPr>
      </w:pPr>
      <w:r>
        <w:rPr>
          <w:rStyle w:val="FootnoteReference"/>
        </w:rPr>
        <w:footnoteRef/>
      </w:r>
      <w:r>
        <w:t xml:space="preserve"> </w:t>
      </w:r>
      <w:r w:rsidRPr="001335F7">
        <w:t xml:space="preserve">United Nations General Assembly, Resolution 73/295, </w:t>
      </w:r>
      <w:r w:rsidRPr="001335F7">
        <w:rPr>
          <w:i/>
          <w:iCs/>
        </w:rPr>
        <w:t>Advisory opinion of the International Court of Justice on the legal</w:t>
      </w:r>
      <w:r>
        <w:rPr>
          <w:i/>
          <w:iCs/>
        </w:rPr>
        <w:t xml:space="preserve"> </w:t>
      </w:r>
      <w:r w:rsidRPr="001335F7">
        <w:rPr>
          <w:i/>
          <w:iCs/>
        </w:rPr>
        <w:t>consequences of the separation of the Chagos Archipelago from</w:t>
      </w:r>
      <w:r>
        <w:rPr>
          <w:i/>
          <w:iCs/>
        </w:rPr>
        <w:t xml:space="preserve"> </w:t>
      </w:r>
      <w:r w:rsidRPr="001335F7">
        <w:rPr>
          <w:i/>
          <w:iCs/>
        </w:rPr>
        <w:t>Mauritius in 1965</w:t>
      </w:r>
      <w:r w:rsidRPr="001335F7">
        <w:t>, U.N. Doc. A/RES/</w:t>
      </w:r>
      <w:r>
        <w:t>73</w:t>
      </w:r>
      <w:r w:rsidRPr="001335F7">
        <w:t>/</w:t>
      </w:r>
      <w:r>
        <w:t>295</w:t>
      </w:r>
      <w:r w:rsidRPr="001335F7">
        <w:t xml:space="preserve"> (</w:t>
      </w:r>
      <w:r>
        <w:t xml:space="preserve">24 May 2019), </w:t>
      </w:r>
      <w:r w:rsidRPr="00B76A66">
        <w:rPr>
          <w:i/>
          <w:iCs/>
        </w:rPr>
        <w:t>available at</w:t>
      </w:r>
      <w:r>
        <w:t xml:space="preserve"> </w:t>
      </w:r>
      <w:r w:rsidRPr="002D099D">
        <w:rPr/>
        <w:t>https://digitallibrary.un.org/record/3806313/files/A_RES_73_295-EN.pdf</w:t>
      </w:r>
      <w:r>
        <w:t xml:space="preserve">. </w:t>
      </w:r>
    </w:p>
  </w:footnote>
  <w:footnote w:id="22">
    <w:p w:rsidR="00D578CC" w:rsidP="00D578CC" w:rsidRDefault="00D578CC">
      <w:pPr>
        <w:pStyle w:val="FootnoteText"/>
        <w:spacing w:after="120"/>
      </w:pPr>
      <w:r>
        <w:rPr>
          <w:rStyle w:val="FootnoteReference"/>
        </w:rPr>
        <w:footnoteRef/>
      </w:r>
      <w:r>
        <w:t xml:space="preserve"> </w:t>
      </w:r>
      <w:r w:rsidRPr="00BB298D">
        <w:rPr>
          <w:i/>
          <w:iCs/>
        </w:rPr>
        <w:t>Dispute concerning delimitation of the maritime boundary between Mauritius and Maldives in the Indian Ocean (Mauritius/Maldives)</w:t>
      </w:r>
      <w:r>
        <w:t xml:space="preserve">, International Tribunal for the Law of the Sea, </w:t>
      </w:r>
      <w:r w:rsidRPr="00BB298D">
        <w:rPr>
          <w:i/>
          <w:iCs/>
        </w:rPr>
        <w:t>available at</w:t>
      </w:r>
      <w:r>
        <w:t xml:space="preserve"> </w:t>
      </w:r>
      <w:r w:rsidRPr="007571B3">
        <w:rPr/>
        <w:t>https://www.itlos.org/en/main/cases/list-of-cases/dispute-concerning-delimitation-of-the-maritime-boundary-between-mauritius-and-maldives-in-the-indian-ocean-mauritius/maldives/</w:t>
      </w:r>
      <w:r>
        <w:t xml:space="preserve"> (last accessed 6 Jan. 2026).</w:t>
      </w:r>
    </w:p>
  </w:footnote>
  <w:footnote w:id="23">
    <w:p w:rsidR="00D578CC" w:rsidP="00D578CC" w:rsidRDefault="00D578CC">
      <w:pPr>
        <w:pStyle w:val="FootnoteText"/>
        <w:spacing w:after="120"/>
      </w:pPr>
      <w:r>
        <w:rPr>
          <w:rStyle w:val="FootnoteReference"/>
        </w:rPr>
        <w:footnoteRef/>
      </w:r>
      <w:r>
        <w:t xml:space="preserve"> </w:t>
      </w:r>
      <w:r w:rsidRPr="00F77D22">
        <w:rPr>
          <w:i/>
          <w:iCs/>
        </w:rPr>
        <w:t>Legal Consequences of the Separation of the Chagos Archipelago from Mauritius in 1965, Advisory Opinion, I.C.J Reports 2019</w:t>
      </w:r>
      <w:r>
        <w:t xml:space="preserve"> (25 Feb. 2019), </w:t>
      </w:r>
      <w:r w:rsidRPr="00F77D22">
        <w:rPr>
          <w:i/>
          <w:iCs/>
        </w:rPr>
        <w:t>available at</w:t>
      </w:r>
      <w:r>
        <w:t xml:space="preserve"> </w:t>
      </w:r>
      <w:r w:rsidRPr="002D099D">
        <w:rPr/>
        <w:t>https://www.icj-cij.org/sites/default/files/case-related/169/169-20190225-ADV-01-00-EN.pdf</w:t>
      </w:r>
      <w:r>
        <w:t>.</w:t>
      </w:r>
    </w:p>
  </w:footnote>
  <w:footnote w:id="24">
    <w:p w:rsidR="00D578CC" w:rsidP="00D578CC" w:rsidRDefault="00D578CC">
      <w:pPr>
        <w:pStyle w:val="FootnoteText"/>
        <w:spacing w:after="120"/>
      </w:pPr>
      <w:r>
        <w:rPr>
          <w:rStyle w:val="FootnoteReference"/>
        </w:rPr>
        <w:footnoteRef/>
      </w:r>
      <w:r>
        <w:t xml:space="preserve"> </w:t>
      </w:r>
      <w:r w:rsidRPr="00F77D22">
        <w:rPr>
          <w:i/>
          <w:iCs/>
        </w:rPr>
        <w:t>Dispute concerning delimitation of the maritime boundary between Mauritius and Maldives in the Indian Ocean (Mauritius/Maldives)</w:t>
      </w:r>
      <w:r>
        <w:t xml:space="preserve">, International Tribunal for the Law of the Sea, Preliminary Objections (28 Jan. 2021), </w:t>
      </w:r>
      <w:r w:rsidRPr="00F77D22">
        <w:rPr>
          <w:i/>
          <w:iCs/>
        </w:rPr>
        <w:t>available at</w:t>
      </w:r>
      <w:r>
        <w:rPr>
          <w:i/>
          <w:iCs/>
        </w:rPr>
        <w:t xml:space="preserve"> </w:t>
      </w:r>
      <w:r w:rsidRPr="00BB298D">
        <w:rPr/>
        <w:t>https://www.itlos.org/fileadmin/itlos/documents/cases/28/published/C28_PO_Judgment_20210128.pdf</w:t>
      </w:r>
      <w:r>
        <w:t xml:space="preserve">, </w:t>
      </w:r>
      <w:r w:rsidRPr="001335F7">
        <w:t>¶</w:t>
      </w:r>
      <w:r>
        <w:t xml:space="preserve"> 203 (emphasis added).</w:t>
      </w:r>
    </w:p>
  </w:footnote>
  <w:footnote w:id="25">
    <w:p w:rsidR="00D578CC" w:rsidP="00D578CC" w:rsidRDefault="00D578CC">
      <w:pPr>
        <w:pStyle w:val="FootnoteText"/>
        <w:spacing w:after="120"/>
      </w:pPr>
      <w:r>
        <w:rPr>
          <w:rStyle w:val="FootnoteReference"/>
        </w:rPr>
        <w:footnoteRef/>
      </w:r>
      <w:r>
        <w:t xml:space="preserve"> </w:t>
      </w:r>
      <w:r w:rsidRPr="00335DC8">
        <w:t>O</w:t>
      </w:r>
      <w:r>
        <w:t>.</w:t>
      </w:r>
      <w:r w:rsidRPr="00335DC8">
        <w:t xml:space="preserve"> Bowcott </w:t>
      </w:r>
      <w:r>
        <w:t>&amp;</w:t>
      </w:r>
      <w:r w:rsidRPr="00335DC8">
        <w:t xml:space="preserve"> B</w:t>
      </w:r>
      <w:r>
        <w:t>.</w:t>
      </w:r>
      <w:r w:rsidRPr="00335DC8">
        <w:t xml:space="preserve"> </w:t>
      </w:r>
      <w:proofErr w:type="spellStart"/>
      <w:r w:rsidRPr="00335DC8">
        <w:t>Rinvolucri</w:t>
      </w:r>
      <w:proofErr w:type="spellEnd"/>
      <w:r>
        <w:t>,</w:t>
      </w:r>
      <w:r w:rsidRPr="00335DC8">
        <w:t xml:space="preserve"> </w:t>
      </w:r>
      <w:r>
        <w:t>“</w:t>
      </w:r>
      <w:r w:rsidRPr="00335DC8">
        <w:t>Mauritius asks Google to label Chagos Islands as part of its territory</w:t>
      </w:r>
      <w:r>
        <w:t xml:space="preserve">,” </w:t>
      </w:r>
      <w:r w:rsidRPr="00BB298D">
        <w:rPr>
          <w:i/>
          <w:iCs/>
        </w:rPr>
        <w:t>The Guardian</w:t>
      </w:r>
      <w:r>
        <w:t xml:space="preserve"> (21 Feb. 2022), </w:t>
      </w:r>
      <w:r w:rsidRPr="00BB298D">
        <w:rPr>
          <w:i/>
          <w:iCs/>
        </w:rPr>
        <w:t>available at</w:t>
      </w:r>
      <w:r>
        <w:t xml:space="preserve"> </w:t>
      </w:r>
      <w:r w:rsidRPr="002D099D">
        <w:rPr/>
        <w:t>https://www.theguardian.com/world/2022/feb/21/mauritius-uk-google-maps-chagos-islands-territory</w:t>
      </w:r>
      <w:r>
        <w:t xml:space="preserve">. </w:t>
      </w:r>
    </w:p>
  </w:footnote>
  <w:footnote w:id="26">
    <w:p w:rsidR="00D578CC" w:rsidP="00D578CC" w:rsidRDefault="00D578CC">
      <w:pPr>
        <w:pStyle w:val="FootnoteText"/>
        <w:spacing w:after="120"/>
      </w:pPr>
      <w:r>
        <w:rPr>
          <w:rStyle w:val="FootnoteReference"/>
        </w:rPr>
        <w:footnoteRef/>
      </w:r>
      <w:r>
        <w:t xml:space="preserve"> “</w:t>
      </w:r>
      <w:r w:rsidRPr="00754BF1">
        <w:t>British stamps banned from Chagos Islands in Indian Ocean</w:t>
      </w:r>
      <w:r>
        <w:t xml:space="preserve">,” </w:t>
      </w:r>
      <w:r w:rsidRPr="00BB298D">
        <w:rPr>
          <w:i/>
          <w:iCs/>
        </w:rPr>
        <w:t>BBC News</w:t>
      </w:r>
      <w:r>
        <w:t xml:space="preserve"> (2021), </w:t>
      </w:r>
      <w:r w:rsidRPr="00BB298D">
        <w:rPr>
          <w:i/>
          <w:iCs/>
        </w:rPr>
        <w:t>available at</w:t>
      </w:r>
      <w:r>
        <w:t xml:space="preserve"> </w:t>
      </w:r>
      <w:r w:rsidRPr="002D099D">
        <w:rPr/>
        <w:t>https://www.bbc.com/news/world-africa-58321580</w:t>
      </w:r>
      <w:r>
        <w:t xml:space="preserve">. </w:t>
      </w:r>
    </w:p>
  </w:footnote>
  <w:footnote w:id="27">
    <w:p w:rsidR="00D578CC" w:rsidP="00D578CC" w:rsidRDefault="00D578CC">
      <w:pPr>
        <w:pStyle w:val="FootnoteText"/>
        <w:spacing w:after="120"/>
      </w:pPr>
      <w:r>
        <w:rPr>
          <w:rStyle w:val="FootnoteReference"/>
        </w:rPr>
        <w:footnoteRef/>
      </w:r>
      <w:r>
        <w:t xml:space="preserve"> </w:t>
      </w:r>
      <w:r w:rsidRPr="00904ABB">
        <w:t>U</w:t>
      </w:r>
      <w:r>
        <w:t xml:space="preserve">nited </w:t>
      </w:r>
      <w:r w:rsidRPr="00904ABB">
        <w:t>N</w:t>
      </w:r>
      <w:r>
        <w:t>ations</w:t>
      </w:r>
      <w:r w:rsidRPr="00904ABB">
        <w:t xml:space="preserve"> Treaty</w:t>
      </w:r>
      <w:r>
        <w:t xml:space="preserve"> Section,</w:t>
      </w:r>
      <w:r w:rsidRPr="00904ABB">
        <w:t xml:space="preserve"> </w:t>
      </w:r>
      <w:r w:rsidRPr="00BB298D">
        <w:rPr>
          <w:i/>
          <w:iCs/>
        </w:rPr>
        <w:t>Note Verbale</w:t>
      </w:r>
      <w:r>
        <w:t xml:space="preserve"> </w:t>
      </w:r>
      <w:r w:rsidRPr="00904ABB">
        <w:t>from the Permanent Mission of the Republic of Mauritius to the United Nations Secretary-General</w:t>
      </w:r>
      <w:r>
        <w:t>,</w:t>
      </w:r>
      <w:r w:rsidRPr="00904ABB">
        <w:t xml:space="preserve"> U.N. Doc. 03/20 (NY/UN/395) </w:t>
      </w:r>
      <w:r>
        <w:t xml:space="preserve">(9 Jan. 2020), </w:t>
      </w:r>
      <w:r w:rsidRPr="00BB298D">
        <w:rPr>
          <w:i/>
          <w:iCs/>
        </w:rPr>
        <w:t>available at</w:t>
      </w:r>
      <w:r>
        <w:t xml:space="preserve"> </w:t>
      </w:r>
      <w:r w:rsidRPr="002D099D">
        <w:rPr/>
        <w:t>https://treaties.un.org/doc/Publication/CN/2020/CN.49.2020-Eng.pdf</w:t>
      </w:r>
      <w:r>
        <w:t>.</w:t>
      </w:r>
    </w:p>
  </w:footnote>
  <w:footnote w:id="28">
    <w:p w:rsidRPr="00BB298D" w:rsidR="00D578CC" w:rsidP="00D578CC" w:rsidRDefault="00D578CC">
      <w:pPr>
        <w:pStyle w:val="FootnoteText"/>
        <w:spacing w:after="120"/>
        <w:rPr>
          <w:i/>
          <w:iCs/>
        </w:rPr>
      </w:pPr>
      <w:r>
        <w:rPr>
          <w:rStyle w:val="FootnoteReference"/>
        </w:rPr>
        <w:footnoteRef/>
      </w:r>
      <w:r>
        <w:t xml:space="preserve"> UK Government, Press Release, “</w:t>
      </w:r>
      <w:r w:rsidRPr="001335F7">
        <w:t>UK and Mauritius joint statement, 3 October 2024</w:t>
      </w:r>
      <w:r>
        <w:t xml:space="preserve">” (3 Oct. 2024), </w:t>
      </w:r>
      <w:r w:rsidRPr="00BB298D">
        <w:rPr>
          <w:i/>
          <w:iCs/>
        </w:rPr>
        <w:t xml:space="preserve">available </w:t>
      </w:r>
      <w:proofErr w:type="spellStart"/>
      <w:r w:rsidRPr="00BB298D">
        <w:rPr>
          <w:i/>
          <w:iCs/>
        </w:rPr>
        <w:t>at</w:t>
      </w:r>
      <w:r>
        <w:t xml:space="preserve"> </w:t>
      </w:r>
      <w:r w:rsidRPr="002D099D">
        <w:rPr/>
        <w:t>https://www.gov.uk/government/news/joint-statement-between-uk-and-mauritius-3-october-2024</w:t>
      </w:r>
      <w:r>
        <w:t xml:space="preserve">; </w:t>
      </w:r>
      <w:r>
        <w:rPr>
          <w:i/>
          <w:iCs/>
        </w:rPr>
        <w:t>see</w:t>
      </w:r>
      <w:proofErr w:type="spellEnd"/>
      <w:r>
        <w:rPr>
          <w:i/>
          <w:iCs/>
        </w:rPr>
        <w:t xml:space="preserve"> also </w:t>
      </w:r>
      <w:r w:rsidRPr="00BB298D">
        <w:rPr>
          <w:i/>
          <w:iCs/>
        </w:rPr>
        <w:t xml:space="preserve">Agreement between the Government of the United Kingdom of Great Britain and Northern Ireland and the Government of the Republic of Mauritius concerning the Chagos Archipelago including Diego Garcia (22 May 2025), available at </w:t>
      </w:r>
      <w:r w:rsidRPr="002D099D">
        <w:rPr/>
        <w:t>https://assets.publishing.service.gov.uk/media/682f25afc054883884bff42a/CS_Mauritius_1.2025_Agreement_Chagos_Diego_Garcia.pdf</w:t>
      </w:r>
      <w:r>
        <w:rPr>
          <w:i/>
          <w:iCs/>
        </w:rPr>
        <w:t>.</w:t>
      </w:r>
    </w:p>
  </w:footnote>
  <w:footnote w:id="29">
    <w:p w:rsidR="00D578CC" w:rsidP="00D578CC" w:rsidRDefault="00D578CC">
      <w:pPr>
        <w:pStyle w:val="FootnoteText"/>
        <w:spacing w:after="120"/>
      </w:pPr>
      <w:r>
        <w:rPr>
          <w:rStyle w:val="FootnoteReference"/>
        </w:rPr>
        <w:footnoteRef/>
      </w:r>
      <w:r>
        <w:t xml:space="preserve"> P. Loft &amp; J. Curtis, “</w:t>
      </w:r>
      <w:r w:rsidRPr="001335F7">
        <w:t>2025 treaty on the British Indian Ocean Territory/Chagos Archipelago</w:t>
      </w:r>
      <w:r>
        <w:t xml:space="preserve">,” </w:t>
      </w:r>
      <w:r w:rsidRPr="00BB298D">
        <w:rPr>
          <w:i/>
          <w:iCs/>
        </w:rPr>
        <w:t>UK Parliament House of Commons Library</w:t>
      </w:r>
      <w:r>
        <w:t xml:space="preserve"> (8 Sep. 2025), </w:t>
      </w:r>
      <w:r w:rsidRPr="00BB298D">
        <w:rPr>
          <w:i/>
          <w:iCs/>
        </w:rPr>
        <w:t>available at</w:t>
      </w:r>
      <w:r>
        <w:t xml:space="preserve"> </w:t>
      </w:r>
      <w:r w:rsidRPr="002D099D">
        <w:rPr/>
        <w:t>https://commonslibrary.parliament.uk/research-briefings/cbp-10273/</w:t>
      </w:r>
      <w:r>
        <w:t xml:space="preserve">. </w:t>
      </w:r>
    </w:p>
  </w:footnote>
  <w:footnote w:id="30">
    <w:p w:rsidR="00D578CC" w:rsidP="00D578CC" w:rsidRDefault="00D578CC">
      <w:pPr>
        <w:pStyle w:val="FootnoteText"/>
        <w:spacing w:after="120"/>
      </w:pPr>
      <w:r>
        <w:rPr>
          <w:rStyle w:val="FootnoteReference"/>
        </w:rPr>
        <w:footnoteRef/>
      </w:r>
      <w:r>
        <w:t xml:space="preserve"> J. Chanter, “</w:t>
      </w:r>
      <w:r w:rsidRPr="008436C2">
        <w:t>What is the Chagos Islands deal between UK and Mauritius?</w:t>
      </w:r>
      <w:r>
        <w:t xml:space="preserve">” </w:t>
      </w:r>
      <w:r w:rsidRPr="00BB298D">
        <w:rPr>
          <w:i/>
          <w:iCs/>
        </w:rPr>
        <w:t>BBC News</w:t>
      </w:r>
      <w:r>
        <w:t xml:space="preserve"> (23 May 2025), </w:t>
      </w:r>
      <w:r w:rsidRPr="00BB298D">
        <w:rPr>
          <w:i/>
          <w:iCs/>
        </w:rPr>
        <w:t>available at</w:t>
      </w:r>
      <w:r>
        <w:t xml:space="preserve"> </w:t>
      </w:r>
      <w:r w:rsidRPr="002D099D">
        <w:rPr/>
        <w:t>https://www.bbc.com/news/articles/c9dqg3nqynlo</w:t>
      </w:r>
      <w:r>
        <w:t xml:space="preserve">. </w:t>
      </w:r>
    </w:p>
  </w:footnote>
  <w:footnote w:id="31">
    <w:p w:rsidR="00D578CC" w:rsidP="00D578CC" w:rsidRDefault="00D578CC">
      <w:pPr>
        <w:pStyle w:val="FootnoteText"/>
        <w:spacing w:after="120"/>
      </w:pPr>
      <w:r>
        <w:rPr>
          <w:rStyle w:val="FootnoteReference"/>
        </w:rPr>
        <w:footnoteRef/>
      </w:r>
      <w:r>
        <w:t xml:space="preserve"> </w:t>
      </w:r>
      <w:r w:rsidRPr="008436C2">
        <w:t>US Department of State, Press Statement, “U.S. Support for UK and Mauritius Agreement on Chagos Archipelago” (</w:t>
      </w:r>
      <w:r>
        <w:t>22 May 2025</w:t>
      </w:r>
      <w:r w:rsidRPr="008436C2">
        <w:t>)</w:t>
      </w:r>
      <w:r>
        <w:t xml:space="preserve">, </w:t>
      </w:r>
      <w:r w:rsidRPr="00BB298D">
        <w:rPr>
          <w:i/>
          <w:iCs/>
        </w:rPr>
        <w:t>available at</w:t>
      </w:r>
      <w:r>
        <w:t xml:space="preserve"> </w:t>
      </w:r>
      <w:r w:rsidRPr="002D099D">
        <w:rPr/>
        <w:t>https://www.state.gov/u-s-support-for-uk-and-mauritius-agreement-on-chagos-archipelago</w:t>
      </w:r>
      <w:r>
        <w:t xml:space="preserve">. </w:t>
      </w:r>
    </w:p>
  </w:footnote>
  <w:footnote w:id="32">
    <w:p w:rsidR="00D578CC" w:rsidP="00D578CC" w:rsidRDefault="00D578CC">
      <w:pPr>
        <w:pStyle w:val="FootnoteText"/>
        <w:spacing w:after="120"/>
      </w:pPr>
      <w:r>
        <w:rPr>
          <w:rStyle w:val="FootnoteReference"/>
        </w:rPr>
        <w:footnoteRef/>
      </w:r>
      <w:r>
        <w:t xml:space="preserve"> Letter from the Commission of Small Island States on Climate Change and International Law to the International Tribunal for the Law of the Sea on a Request for Advisory Opinion (12 Dec. 2022), </w:t>
      </w:r>
      <w:r w:rsidRPr="00BB298D">
        <w:rPr>
          <w:i/>
          <w:iCs/>
        </w:rPr>
        <w:t>available at</w:t>
      </w:r>
      <w:r>
        <w:t xml:space="preserve"> </w:t>
      </w:r>
      <w:r w:rsidRPr="002D099D">
        <w:rPr/>
        <w:t>https://www.itlos.org/fileadmin/itlos/documents/cases/31/Request_for_Advisory_Opinion_COSIS_12.12.22.pdf</w:t>
      </w:r>
      <w:r>
        <w:t xml:space="preserve">. </w:t>
      </w:r>
    </w:p>
  </w:footnote>
  <w:footnote w:id="33">
    <w:p w:rsidRPr="00BB298D" w:rsidR="00D578CC" w:rsidP="00D578CC" w:rsidRDefault="00D578CC">
      <w:pPr>
        <w:pStyle w:val="FootnoteText"/>
        <w:spacing w:after="120"/>
        <w:rPr>
          <w:i/>
          <w:iCs/>
        </w:rPr>
      </w:pPr>
      <w:r>
        <w:rPr>
          <w:rStyle w:val="FootnoteReference"/>
        </w:rPr>
        <w:footnoteRef/>
      </w:r>
      <w:r>
        <w:t xml:space="preserve"> </w:t>
      </w:r>
      <w:r w:rsidRPr="008436C2">
        <w:t xml:space="preserve">United Nations General Assembly, Resolution </w:t>
      </w:r>
      <w:r>
        <w:t>77/276</w:t>
      </w:r>
      <w:r w:rsidRPr="008436C2">
        <w:t xml:space="preserve">, </w:t>
      </w:r>
      <w:r w:rsidRPr="008436C2">
        <w:rPr>
          <w:i/>
          <w:iCs/>
        </w:rPr>
        <w:t>Request for an advisory opinion of the International Court of</w:t>
      </w:r>
      <w:r>
        <w:rPr>
          <w:i/>
          <w:iCs/>
        </w:rPr>
        <w:t xml:space="preserve"> </w:t>
      </w:r>
      <w:r w:rsidRPr="008436C2">
        <w:rPr>
          <w:i/>
          <w:iCs/>
        </w:rPr>
        <w:t>Justice on the obligations of States in respect of climate change</w:t>
      </w:r>
      <w:r w:rsidRPr="008436C2">
        <w:t>, U.N. Doc. A/RES/</w:t>
      </w:r>
      <w:r>
        <w:t>77</w:t>
      </w:r>
      <w:r w:rsidRPr="008436C2">
        <w:t>/</w:t>
      </w:r>
      <w:r>
        <w:t>276</w:t>
      </w:r>
      <w:r w:rsidRPr="008436C2">
        <w:t xml:space="preserve"> (</w:t>
      </w:r>
      <w:r>
        <w:t>4 Apr. 2023</w:t>
      </w:r>
      <w:r w:rsidRPr="008436C2">
        <w:t>)</w:t>
      </w:r>
      <w:r>
        <w:t xml:space="preserve">, </w:t>
      </w:r>
      <w:r w:rsidRPr="00BB298D">
        <w:rPr>
          <w:i/>
          <w:iCs/>
        </w:rPr>
        <w:t>available at</w:t>
      </w:r>
      <w:r>
        <w:t xml:space="preserve"> </w:t>
      </w:r>
      <w:r w:rsidRPr="002D099D">
        <w:rPr/>
        <w:t>https://docs.un.org/en/A/RES/77/276</w:t>
      </w:r>
      <w:r>
        <w:t xml:space="preserve">. </w:t>
      </w:r>
    </w:p>
  </w:footnote>
  <w:footnote w:id="34">
    <w:p w:rsidRPr="005B55A4" w:rsidR="00D578CC" w:rsidP="00D578CC" w:rsidRDefault="00D578CC">
      <w:pPr>
        <w:pStyle w:val="FootnoteText"/>
        <w:spacing w:after="120"/>
      </w:pPr>
      <w:r>
        <w:rPr>
          <w:rStyle w:val="FootnoteReference"/>
        </w:rPr>
        <w:footnoteRef/>
      </w:r>
      <w:r>
        <w:t xml:space="preserve"> </w:t>
      </w:r>
      <w:r w:rsidRPr="005B55A4">
        <w:rPr>
          <w:i/>
          <w:iCs/>
        </w:rPr>
        <w:t>Obligations of States in respect of Climate Change</w:t>
      </w:r>
      <w:r w:rsidRPr="00F77D22">
        <w:rPr>
          <w:i/>
          <w:iCs/>
        </w:rPr>
        <w:t>, Advisory Opinion,</w:t>
      </w:r>
      <w:r>
        <w:rPr>
          <w:i/>
          <w:iCs/>
        </w:rPr>
        <w:t xml:space="preserve"> </w:t>
      </w:r>
      <w:r w:rsidRPr="00F77D22">
        <w:rPr>
          <w:i/>
          <w:iCs/>
        </w:rPr>
        <w:t xml:space="preserve">I.C.J Reports </w:t>
      </w:r>
      <w:r>
        <w:rPr>
          <w:i/>
          <w:iCs/>
        </w:rPr>
        <w:t>2025</w:t>
      </w:r>
      <w:r>
        <w:t xml:space="preserve"> (23 Jul. 2025), </w:t>
      </w:r>
      <w:r w:rsidRPr="00F77D22">
        <w:rPr>
          <w:i/>
          <w:iCs/>
        </w:rPr>
        <w:t>available at</w:t>
      </w:r>
      <w:r>
        <w:rPr>
          <w:i/>
          <w:iCs/>
        </w:rPr>
        <w:t xml:space="preserve"> </w:t>
      </w:r>
      <w:r w:rsidRPr="00BB298D">
        <w:rPr/>
        <w:t>https://www.icj-cij.org/sites/default/files/case-related/187/187-20250723-adv-01-00-en.pdf</w:t>
      </w:r>
      <w:r>
        <w:t xml:space="preserve">. </w:t>
      </w:r>
    </w:p>
  </w:footnote>
  <w:footnote w:id="35">
    <w:p w:rsidRPr="00BB298D" w:rsidR="00D578CC" w:rsidP="00D578CC" w:rsidRDefault="00D578CC">
      <w:pPr>
        <w:pStyle w:val="FootnoteText"/>
        <w:spacing w:after="120"/>
        <w:rPr>
          <w:i/>
          <w:iCs/>
        </w:rPr>
      </w:pPr>
      <w:r>
        <w:rPr>
          <w:rStyle w:val="FootnoteReference"/>
        </w:rPr>
        <w:footnoteRef/>
      </w:r>
      <w:r>
        <w:t xml:space="preserve"> </w:t>
      </w:r>
      <w:r w:rsidRPr="005B55A4">
        <w:rPr>
          <w:i/>
          <w:iCs/>
        </w:rPr>
        <w:t>Request for an Advisory Opinion submitted by the Commission of Small Island States on Climate Change and International Law (Request for Advisory Opinion submitted to the Tribunal)</w:t>
      </w:r>
      <w:r>
        <w:t xml:space="preserve">, International Tribunal for the Law of the Sea, Advisory Opinion (21 May 2024), </w:t>
      </w:r>
      <w:r w:rsidRPr="00F77D22">
        <w:rPr>
          <w:i/>
          <w:iCs/>
        </w:rPr>
        <w:t>available at</w:t>
      </w:r>
      <w:r>
        <w:rPr>
          <w:i/>
          <w:iCs/>
        </w:rPr>
        <w:t xml:space="preserve"> </w:t>
      </w:r>
      <w:r w:rsidRPr="00BB298D">
        <w:rPr/>
        <w:t>https://www.itlos.org/fileadmin/itlos/documents/cases/31/Advisory_Opinion/C31_Adv_Op_21.05.2024_orig.pdf</w:t>
      </w:r>
      <w:r>
        <w:t>.</w:t>
      </w:r>
      <w:r>
        <w:rPr>
          <w:i/>
          <w:iCs/>
        </w:rPr>
        <w:t xml:space="preserve"> </w:t>
      </w:r>
    </w:p>
  </w:footnote>
  <w:footnote w:id="36">
    <w:p w:rsidR="00D578CC" w:rsidP="00D578CC" w:rsidRDefault="00D578CC">
      <w:pPr>
        <w:pStyle w:val="FootnoteText"/>
        <w:spacing w:after="120"/>
      </w:pPr>
      <w:r>
        <w:rPr>
          <w:rStyle w:val="FootnoteReference"/>
        </w:rPr>
        <w:footnoteRef/>
      </w:r>
      <w:r>
        <w:t xml:space="preserve"> </w:t>
      </w:r>
      <w:r w:rsidRPr="00A413E6">
        <w:t>Convention on International Civil Aviation</w:t>
      </w:r>
      <w:r>
        <w:t xml:space="preserve"> (signed on 7 Dec. 1944), </w:t>
      </w:r>
      <w:r w:rsidRPr="00BB298D">
        <w:rPr>
          <w:i/>
          <w:iCs/>
        </w:rPr>
        <w:t>available at</w:t>
      </w:r>
      <w:r>
        <w:t xml:space="preserve"> </w:t>
      </w:r>
      <w:r w:rsidRPr="002D099D">
        <w:rPr/>
        <w:t>https://treaties.un.org/doc/publication/unts/volume%2015/volume-15-ii-102-english.pdf</w:t>
      </w:r>
      <w:r>
        <w:t xml:space="preserve">. </w:t>
      </w:r>
    </w:p>
  </w:footnote>
  <w:footnote w:id="37">
    <w:p w:rsidR="00D578CC" w:rsidP="00D578CC" w:rsidRDefault="00D578CC">
      <w:pPr>
        <w:pStyle w:val="FootnoteText"/>
        <w:spacing w:after="120"/>
      </w:pPr>
      <w:r>
        <w:rPr>
          <w:rStyle w:val="FootnoteReference"/>
        </w:rPr>
        <w:footnoteRef/>
      </w:r>
      <w:r>
        <w:t xml:space="preserve"> </w:t>
      </w:r>
      <w:r w:rsidRPr="00735271">
        <w:t>International Air Services Transit Agreement</w:t>
      </w:r>
      <w:r>
        <w:t xml:space="preserve"> (signed on 7 Dec. 1944), </w:t>
      </w:r>
      <w:r w:rsidRPr="00BB298D">
        <w:rPr>
          <w:i/>
          <w:iCs/>
        </w:rPr>
        <w:t>available at</w:t>
      </w:r>
      <w:r>
        <w:t xml:space="preserve"> </w:t>
      </w:r>
      <w:r w:rsidRPr="002D099D">
        <w:rPr/>
        <w:t>https://treaties.un.org/doc/Publication/UNTS/Volume%2084/volume-84-II-252-English.pdf</w:t>
      </w:r>
      <w:r>
        <w:t xml:space="preserve">. </w:t>
      </w:r>
    </w:p>
  </w:footnote>
  <w:footnote w:id="38">
    <w:p w:rsidR="00D578CC" w:rsidP="00D578CC" w:rsidRDefault="00D578CC">
      <w:pPr>
        <w:pStyle w:val="FootnoteText"/>
        <w:spacing w:after="120"/>
      </w:pPr>
      <w:r>
        <w:rPr>
          <w:rStyle w:val="FootnoteReference"/>
        </w:rPr>
        <w:footnoteRef/>
      </w:r>
      <w:r>
        <w:t xml:space="preserve"> </w:t>
      </w:r>
      <w:r w:rsidRPr="00A413E6">
        <w:t>Convention on International Civil Aviation</w:t>
      </w:r>
      <w:r>
        <w:t xml:space="preserve"> (signed on 7 Dec. 1944), </w:t>
      </w:r>
      <w:r w:rsidRPr="00F77D22">
        <w:rPr>
          <w:i/>
          <w:iCs/>
        </w:rPr>
        <w:t>available at</w:t>
      </w:r>
      <w:r>
        <w:t xml:space="preserve"> </w:t>
      </w:r>
      <w:r w:rsidRPr="002D099D">
        <w:rPr/>
        <w:t>https://treaties.un.org/doc/publication/unts/volume%2015/volume-15-ii-102-english.pdf</w:t>
      </w:r>
      <w:r>
        <w:t>, Arts. 84-86.</w:t>
      </w:r>
    </w:p>
  </w:footnote>
  <w:footnote w:id="39">
    <w:p w:rsidR="00D578CC" w:rsidP="00D578CC" w:rsidRDefault="00D578CC">
      <w:pPr>
        <w:pStyle w:val="FootnoteText"/>
        <w:spacing w:after="120"/>
      </w:pPr>
      <w:r>
        <w:rPr>
          <w:rStyle w:val="FootnoteReference"/>
        </w:rPr>
        <w:footnoteRef/>
      </w:r>
      <w:r>
        <w:t xml:space="preserve"> Universal Postal Union</w:t>
      </w:r>
      <w:r w:rsidRPr="00735271">
        <w:t xml:space="preserve">, </w:t>
      </w:r>
      <w:r>
        <w:t>Home</w:t>
      </w:r>
      <w:r w:rsidRPr="00735271">
        <w:t xml:space="preserve">, </w:t>
      </w:r>
      <w:r w:rsidRPr="00BB298D">
        <w:rPr>
          <w:i/>
          <w:iCs/>
        </w:rPr>
        <w:t>available at</w:t>
      </w:r>
      <w:r w:rsidRPr="00735271">
        <w:t xml:space="preserve"> </w:t>
      </w:r>
      <w:r w:rsidRPr="002D099D">
        <w:rPr/>
        <w:t>https://www.upu.int/en/home</w:t>
      </w:r>
      <w:r>
        <w:t xml:space="preserve"> </w:t>
      </w:r>
      <w:r w:rsidRPr="00735271">
        <w:t xml:space="preserve">(last accessed </w:t>
      </w:r>
      <w:r>
        <w:t>6 Jan. 2026</w:t>
      </w:r>
      <w:r w:rsidRPr="00735271">
        <w:t>)</w:t>
      </w:r>
      <w:r>
        <w:t>.</w:t>
      </w:r>
    </w:p>
  </w:footnote>
  <w:footnote w:id="40">
    <w:p w:rsidR="00D578CC" w:rsidP="00D578CC" w:rsidRDefault="00D578CC">
      <w:pPr>
        <w:pStyle w:val="FootnoteText"/>
        <w:spacing w:after="120"/>
      </w:pPr>
      <w:r>
        <w:rPr>
          <w:rStyle w:val="FootnoteReference"/>
        </w:rPr>
        <w:footnoteRef/>
      </w:r>
      <w:r>
        <w:t xml:space="preserve"> Permanent Court of Arbitration, Home, </w:t>
      </w:r>
      <w:r w:rsidRPr="00BB298D">
        <w:rPr>
          <w:i/>
          <w:iCs/>
        </w:rPr>
        <w:t>available at</w:t>
      </w:r>
      <w:r>
        <w:t xml:space="preserve"> </w:t>
      </w:r>
      <w:r w:rsidRPr="002D099D">
        <w:rPr/>
        <w:t>https://pca-cpa.org/home/</w:t>
      </w:r>
      <w:r>
        <w:t xml:space="preserve"> </w:t>
      </w:r>
      <w:r w:rsidRPr="00735271">
        <w:t xml:space="preserve">(last accessed </w:t>
      </w:r>
      <w:r>
        <w:t>6 Jan. 2026</w:t>
      </w:r>
      <w:r w:rsidRPr="00735271">
        <w:t>)</w:t>
      </w:r>
      <w:r>
        <w:t>.</w:t>
      </w:r>
    </w:p>
  </w:footnote>
  <w:footnote w:id="41">
    <w:p w:rsidR="00D578CC" w:rsidP="00D578CC" w:rsidRDefault="00D578CC">
      <w:pPr>
        <w:pStyle w:val="FootnoteText"/>
        <w:spacing w:after="120"/>
      </w:pPr>
      <w:r>
        <w:rPr>
          <w:rStyle w:val="FootnoteReference"/>
        </w:rPr>
        <w:footnoteRef/>
      </w:r>
      <w:r>
        <w:t xml:space="preserve"> </w:t>
      </w:r>
      <w:r w:rsidRPr="00735271">
        <w:t>International Convention on the Elimination of All Forms of Racial Discrimination</w:t>
      </w:r>
      <w:r>
        <w:t xml:space="preserve"> (adopted on 21 Dec. 1965), </w:t>
      </w:r>
      <w:r w:rsidRPr="00BB298D">
        <w:rPr>
          <w:i/>
          <w:iCs/>
        </w:rPr>
        <w:t>available at</w:t>
      </w:r>
      <w:r>
        <w:t xml:space="preserve"> </w:t>
      </w:r>
      <w:r w:rsidRPr="002D099D">
        <w:rPr/>
        <w:t>https://www.ohchr.org/en/instruments-mechanisms/instruments/international-convention-elimination-all-forms-racial</w:t>
      </w:r>
      <w:r>
        <w:t xml:space="preserve">. </w:t>
      </w:r>
    </w:p>
  </w:footnote>
  <w:footnote w:id="42">
    <w:p w:rsidR="00D578CC" w:rsidP="00D578CC" w:rsidRDefault="00D578CC">
      <w:pPr>
        <w:pStyle w:val="FootnoteText"/>
        <w:spacing w:after="120"/>
      </w:pPr>
      <w:r>
        <w:rPr>
          <w:rStyle w:val="FootnoteReference"/>
        </w:rPr>
        <w:footnoteRef/>
      </w:r>
      <w:r>
        <w:t xml:space="preserve"> </w:t>
      </w:r>
      <w:r w:rsidRPr="00BB298D">
        <w:rPr>
          <w:i/>
          <w:iCs/>
        </w:rPr>
        <w:t>Legal Consequences arising from the Policies and Practices of Israel in the Occupied Palestinian Territory, including East Jerusalem,</w:t>
      </w:r>
      <w:r w:rsidRPr="00735271">
        <w:rPr>
          <w:i/>
          <w:iCs/>
        </w:rPr>
        <w:t xml:space="preserve"> </w:t>
      </w:r>
      <w:r w:rsidRPr="00F77D22">
        <w:rPr>
          <w:i/>
          <w:iCs/>
        </w:rPr>
        <w:t xml:space="preserve">Advisory Opinion, I.C.J Reports </w:t>
      </w:r>
      <w:r>
        <w:rPr>
          <w:i/>
          <w:iCs/>
        </w:rPr>
        <w:t>2024</w:t>
      </w:r>
      <w:r>
        <w:t xml:space="preserve"> (19 Jul. 2024), </w:t>
      </w:r>
      <w:r w:rsidRPr="00F77D22">
        <w:rPr>
          <w:i/>
          <w:iCs/>
        </w:rPr>
        <w:t>available at</w:t>
      </w:r>
      <w:r>
        <w:t xml:space="preserve"> </w:t>
      </w:r>
      <w:r w:rsidRPr="002D099D">
        <w:rPr/>
        <w:t>https://www.icj-cij.org/sites/default/files/case-related/186/186-20240719-adv-01-00-en.pdf</w:t>
      </w:r>
      <w:r>
        <w:t xml:space="preserve">. </w:t>
      </w:r>
    </w:p>
  </w:footnote>
  <w:footnote w:id="43">
    <w:p w:rsidRPr="00D25B34" w:rsidR="00D578CC" w:rsidP="00D578CC" w:rsidRDefault="00D578CC">
      <w:pPr>
        <w:pStyle w:val="FootnoteText"/>
        <w:spacing w:after="120"/>
      </w:pPr>
      <w:r>
        <w:rPr>
          <w:rStyle w:val="FootnoteReference"/>
        </w:rPr>
        <w:footnoteRef/>
      </w:r>
      <w:r>
        <w:t xml:space="preserve"> </w:t>
      </w:r>
      <w:r w:rsidRPr="00BB298D">
        <w:rPr>
          <w:i/>
          <w:iCs/>
        </w:rPr>
        <w:t>Application of the International Convention on the Elimination of All Forms of Racial Discrimination (Azerbaijan v. Armenia), Preliminary Objections, Judgment,</w:t>
      </w:r>
      <w:r w:rsidRPr="00F77D22">
        <w:rPr>
          <w:i/>
          <w:iCs/>
        </w:rPr>
        <w:t xml:space="preserve"> I.C.J Reports </w:t>
      </w:r>
      <w:r>
        <w:rPr>
          <w:i/>
          <w:iCs/>
        </w:rPr>
        <w:t>2024</w:t>
      </w:r>
      <w:r>
        <w:t xml:space="preserve"> (12 Nov. 2024), </w:t>
      </w:r>
      <w:r w:rsidRPr="00F77D22">
        <w:rPr>
          <w:i/>
          <w:iCs/>
        </w:rPr>
        <w:t>available at</w:t>
      </w:r>
      <w:r>
        <w:rPr>
          <w:i/>
          <w:iCs/>
        </w:rPr>
        <w:t xml:space="preserve"> </w:t>
      </w:r>
      <w:r w:rsidRPr="00BB298D">
        <w:rPr/>
        <w:t>https://www.icj-cij.org/sites/default/files/case-related/181/181-20241112-jud-01-00-en.pdf</w:t>
      </w:r>
      <w:r>
        <w:t xml:space="preserve">. </w:t>
      </w:r>
    </w:p>
  </w:footnote>
  <w:footnote w:id="44">
    <w:p w:rsidR="00D578CC" w:rsidP="00D578CC" w:rsidRDefault="00D578CC">
      <w:pPr>
        <w:pStyle w:val="FootnoteText"/>
        <w:spacing w:after="120"/>
      </w:pPr>
      <w:r>
        <w:rPr>
          <w:rStyle w:val="FootnoteReference"/>
        </w:rPr>
        <w:footnoteRef/>
      </w:r>
      <w:r>
        <w:t xml:space="preserve"> </w:t>
      </w:r>
      <w:r w:rsidRPr="00F77D22">
        <w:rPr>
          <w:i/>
          <w:iCs/>
        </w:rPr>
        <w:t>Legal Consequences arising from the Policies and Practices of Israel in the Occupied Palestinian Territory, including East Jerusalem,</w:t>
      </w:r>
      <w:r w:rsidRPr="00735271">
        <w:rPr>
          <w:i/>
          <w:iCs/>
        </w:rPr>
        <w:t xml:space="preserve"> </w:t>
      </w:r>
      <w:r w:rsidRPr="00F77D22">
        <w:rPr>
          <w:i/>
          <w:iCs/>
        </w:rPr>
        <w:t xml:space="preserve">Advisory Opinion, I.C.J Reports </w:t>
      </w:r>
      <w:r>
        <w:rPr>
          <w:i/>
          <w:iCs/>
        </w:rPr>
        <w:t>2024</w:t>
      </w:r>
      <w:r>
        <w:t xml:space="preserve"> (19 Jul. 2024), </w:t>
      </w:r>
      <w:r w:rsidRPr="00F77D22">
        <w:rPr>
          <w:i/>
          <w:iCs/>
        </w:rPr>
        <w:t>available at</w:t>
      </w:r>
      <w:r>
        <w:t xml:space="preserve"> </w:t>
      </w:r>
      <w:r w:rsidRPr="002D099D">
        <w:rPr/>
        <w:t>https://www.icj-cij.org/sites/default/files/case-related/186/186-20240719-adv-01-00-en.pdf</w:t>
      </w:r>
      <w:r>
        <w:t>.</w:t>
      </w:r>
    </w:p>
  </w:footnote>
  <w:footnote w:id="45">
    <w:p w:rsidR="00D578CC" w:rsidP="00D578CC" w:rsidRDefault="00D578CC">
      <w:pPr>
        <w:pStyle w:val="FootnoteText"/>
        <w:spacing w:after="120"/>
      </w:pPr>
      <w:r>
        <w:rPr>
          <w:rStyle w:val="FootnoteReference"/>
        </w:rPr>
        <w:footnoteRef/>
      </w:r>
      <w:r>
        <w:t xml:space="preserve"> </w:t>
      </w:r>
      <w:r w:rsidRPr="00BB298D">
        <w:rPr>
          <w:i/>
          <w:iCs/>
        </w:rPr>
        <w:t>Id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76CA" w:rsidRDefault="000D7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76CA" w:rsidRDefault="000D7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76CA" w:rsidRDefault="000D7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C552F"/>
    <w:multiLevelType w:val="multilevel"/>
    <w:tmpl w:val="5BA2B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C46296"/>
    <w:multiLevelType w:val="multilevel"/>
    <w:tmpl w:val="A4CEDC56"/>
    <w:name w:val="ICSID Mauritius Gosling"/>
    <w:lvl w:ilvl="0">
      <w:start w:val="1"/>
      <w:numFmt w:val="upperRoman"/>
      <w:pStyle w:val="ICSIDMauritiusGosling1"/>
      <w:lvlText w:val="%1."/>
      <w:lvlJc w:val="left"/>
      <w:pPr>
        <w:tabs>
          <w:tab w:val="num" w:pos="720"/>
        </w:tabs>
        <w:ind w:left="720" w:hanging="720"/>
      </w:pPr>
      <w:rPr>
        <w:rFonts w:ascii="Times New Roman Bold" w:hAnsi="Times New Roman Bold"/>
        <w:b/>
        <w:i w:val="0"/>
        <w:strike w:val="0"/>
        <w:dstrike w:val="0"/>
        <w:sz w:val="24"/>
      </w:rPr>
    </w:lvl>
    <w:lvl w:ilvl="1">
      <w:start w:val="1"/>
      <w:numFmt w:val="upperLetter"/>
      <w:pStyle w:val="ICSIDMauritiusGosling2"/>
      <w:lvlText w:val="%2."/>
      <w:lvlJc w:val="left"/>
      <w:pPr>
        <w:tabs>
          <w:tab w:val="num" w:pos="1530"/>
        </w:tabs>
        <w:ind w:left="1440" w:hanging="720"/>
      </w:pPr>
      <w:rPr>
        <w:rFonts w:ascii="Times New Roman Bold" w:hAnsi="Times New Roman Bold"/>
        <w:b/>
        <w:i w:val="0"/>
        <w:strike w:val="0"/>
        <w:dstrike w:val="0"/>
        <w:sz w:val="24"/>
      </w:rPr>
    </w:lvl>
    <w:lvl w:ilvl="2">
      <w:start w:val="1"/>
      <w:numFmt w:val="decimal"/>
      <w:pStyle w:val="ICSIDMauritiusGosling3"/>
      <w:lvlText w:val="%3."/>
      <w:lvlJc w:val="left"/>
      <w:pPr>
        <w:tabs>
          <w:tab w:val="num" w:pos="2160"/>
        </w:tabs>
        <w:ind w:left="2160" w:hanging="720"/>
      </w:pPr>
      <w:rPr>
        <w:rFonts w:ascii="Times New Roman Bold" w:hAnsi="Times New Roman Bold"/>
        <w:b/>
        <w:i w:val="0"/>
        <w:strike w:val="0"/>
        <w:dstrike w:val="0"/>
        <w:sz w:val="24"/>
      </w:rPr>
    </w:lvl>
    <w:lvl w:ilvl="3">
      <w:start w:val="1"/>
      <w:numFmt w:val="lowerLetter"/>
      <w:pStyle w:val="ICSIDMauritiusGosling4"/>
      <w:lvlText w:val="%4."/>
      <w:lvlJc w:val="left"/>
      <w:pPr>
        <w:tabs>
          <w:tab w:val="num" w:pos="2880"/>
        </w:tabs>
        <w:ind w:left="2880" w:hanging="720"/>
      </w:pPr>
      <w:rPr>
        <w:rFonts w:ascii="Times New Roman Bold" w:hAnsi="Times New Roman Bold"/>
        <w:b/>
        <w:i w:val="0"/>
        <w:strike w:val="0"/>
        <w:dstrike w:val="0"/>
        <w:sz w:val="24"/>
      </w:rPr>
    </w:lvl>
    <w:lvl w:ilvl="4">
      <w:start w:val="1"/>
      <w:numFmt w:val="decimal"/>
      <w:lvlRestart w:val="0"/>
      <w:pStyle w:val="ICSIDMauritiusGosling5"/>
      <w:lvlText w:val="(%5)"/>
      <w:lvlJc w:val="left"/>
      <w:pPr>
        <w:tabs>
          <w:tab w:val="num" w:pos="2160"/>
        </w:tabs>
        <w:ind w:left="3600" w:hanging="720"/>
      </w:pPr>
      <w:rPr>
        <w:rFonts w:ascii="Times New Roman" w:hAnsi="Times New Roman" w:cs="Times New Roman"/>
        <w:b w:val="0"/>
        <w:i w:val="0"/>
        <w:strike w:val="0"/>
        <w:dstrike w:val="0"/>
        <w:sz w:val="24"/>
      </w:rPr>
    </w:lvl>
    <w:lvl w:ilvl="5">
      <w:start w:val="1"/>
      <w:numFmt w:val="decimal"/>
      <w:pStyle w:val="ICSIDMauritiusGosling6"/>
      <w:lvlText w:val="%6."/>
      <w:lvlJc w:val="left"/>
      <w:pPr>
        <w:tabs>
          <w:tab w:val="num" w:pos="3600"/>
        </w:tabs>
        <w:ind w:left="3600" w:hanging="720"/>
      </w:pPr>
      <w:rPr>
        <w:rFonts w:ascii="Times New Roman" w:hAnsi="Times New Roman" w:cs="Times New Roman"/>
        <w:b w:val="0"/>
        <w:i w:val="0"/>
        <w:strike w:val="0"/>
        <w:dstrike w:val="0"/>
        <w:sz w:val="24"/>
      </w:rPr>
    </w:lvl>
    <w:lvl w:ilvl="6">
      <w:start w:val="1"/>
      <w:numFmt w:val="lowerLetter"/>
      <w:pStyle w:val="ICSIDMauritiusGosling7"/>
      <w:lvlText w:val="%7)"/>
      <w:lvlJc w:val="left"/>
      <w:pPr>
        <w:tabs>
          <w:tab w:val="num" w:pos="5040"/>
        </w:tabs>
        <w:ind w:left="4320" w:hanging="720"/>
      </w:pPr>
      <w:rPr>
        <w:rFonts w:ascii="Times New Roman" w:hAnsi="Times New Roman" w:cs="Times New Roman"/>
        <w:b w:val="0"/>
        <w:i w:val="0"/>
        <w:strike w:val="0"/>
        <w:dstrike w:val="0"/>
        <w:sz w:val="24"/>
      </w:rPr>
    </w:lvl>
    <w:lvl w:ilvl="7">
      <w:start w:val="1"/>
      <w:numFmt w:val="lowerRoman"/>
      <w:pStyle w:val="ICSIDMauritiusGosling8"/>
      <w:lvlText w:val="(%8)"/>
      <w:lvlJc w:val="left"/>
      <w:pPr>
        <w:tabs>
          <w:tab w:val="num" w:pos="5040"/>
        </w:tabs>
        <w:ind w:left="5040" w:hanging="720"/>
      </w:pPr>
      <w:rPr>
        <w:rFonts w:ascii="Times New Roman" w:hAnsi="Times New Roman" w:cs="Times New Roman"/>
        <w:b w:val="0"/>
        <w:i w:val="0"/>
        <w:strike w:val="0"/>
        <w:dstrike w:val="0"/>
        <w:sz w:val="24"/>
      </w:rPr>
    </w:lvl>
    <w:lvl w:ilvl="8">
      <w:start w:val="1"/>
      <w:numFmt w:val="bullet"/>
      <w:pStyle w:val="ICSIDMauritiusGosling9"/>
      <w:lvlText w:val=""/>
      <w:lvlJc w:val="left"/>
      <w:pPr>
        <w:tabs>
          <w:tab w:val="num" w:pos="1440"/>
        </w:tabs>
        <w:ind w:left="1440" w:hanging="720"/>
      </w:pPr>
      <w:rPr>
        <w:rFonts w:ascii="Symbol" w:hAnsi="Symbol" w:hint="default"/>
        <w:strike w:val="0"/>
        <w:dstrike w:val="0"/>
      </w:rPr>
    </w:lvl>
  </w:abstractNum>
  <w:abstractNum w:abstractNumId="2" w15:restartNumberingAfterBreak="0">
    <w:nsid w:val="3617401D"/>
    <w:multiLevelType w:val="hybridMultilevel"/>
    <w:tmpl w:val="942C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673A7"/>
    <w:multiLevelType w:val="multilevel"/>
    <w:tmpl w:val="191493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24055700">
    <w:abstractNumId w:val="2"/>
  </w:num>
  <w:num w:numId="2" w16cid:durableId="442917993">
    <w:abstractNumId w:val="1"/>
  </w:num>
  <w:num w:numId="3" w16cid:durableId="435905422">
    <w:abstractNumId w:val="0"/>
  </w:num>
  <w:num w:numId="4" w16cid:durableId="104279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00"/>
    <w:rsid w:val="00002646"/>
    <w:rsid w:val="00003A43"/>
    <w:rsid w:val="00027FFD"/>
    <w:rsid w:val="00033E84"/>
    <w:rsid w:val="00040099"/>
    <w:rsid w:val="000414B5"/>
    <w:rsid w:val="0004225B"/>
    <w:rsid w:val="0004353E"/>
    <w:rsid w:val="00051AC6"/>
    <w:rsid w:val="00055E76"/>
    <w:rsid w:val="00057173"/>
    <w:rsid w:val="000631E8"/>
    <w:rsid w:val="000733D4"/>
    <w:rsid w:val="00074204"/>
    <w:rsid w:val="00075E43"/>
    <w:rsid w:val="000805C5"/>
    <w:rsid w:val="00082E77"/>
    <w:rsid w:val="0008478B"/>
    <w:rsid w:val="000874DA"/>
    <w:rsid w:val="0009067F"/>
    <w:rsid w:val="0009398C"/>
    <w:rsid w:val="000A1085"/>
    <w:rsid w:val="000A2B5E"/>
    <w:rsid w:val="000A5BFD"/>
    <w:rsid w:val="000A7E67"/>
    <w:rsid w:val="000B123A"/>
    <w:rsid w:val="000B1515"/>
    <w:rsid w:val="000B1775"/>
    <w:rsid w:val="000B2BC3"/>
    <w:rsid w:val="000B3025"/>
    <w:rsid w:val="000B3B12"/>
    <w:rsid w:val="000B62EF"/>
    <w:rsid w:val="000B6C4E"/>
    <w:rsid w:val="000C39A5"/>
    <w:rsid w:val="000C49E4"/>
    <w:rsid w:val="000D3D7B"/>
    <w:rsid w:val="000D76CA"/>
    <w:rsid w:val="000E71D8"/>
    <w:rsid w:val="000F2EDE"/>
    <w:rsid w:val="000F2FFA"/>
    <w:rsid w:val="000F3B47"/>
    <w:rsid w:val="00121575"/>
    <w:rsid w:val="00131E93"/>
    <w:rsid w:val="00133EB5"/>
    <w:rsid w:val="00135D95"/>
    <w:rsid w:val="00136E91"/>
    <w:rsid w:val="001377EC"/>
    <w:rsid w:val="00141736"/>
    <w:rsid w:val="00142F00"/>
    <w:rsid w:val="00144423"/>
    <w:rsid w:val="00144801"/>
    <w:rsid w:val="0015315B"/>
    <w:rsid w:val="00157919"/>
    <w:rsid w:val="0016160E"/>
    <w:rsid w:val="00162DD3"/>
    <w:rsid w:val="00176173"/>
    <w:rsid w:val="0017673E"/>
    <w:rsid w:val="001769DF"/>
    <w:rsid w:val="00176EA7"/>
    <w:rsid w:val="00194C35"/>
    <w:rsid w:val="00195D29"/>
    <w:rsid w:val="00197225"/>
    <w:rsid w:val="001A08C6"/>
    <w:rsid w:val="001A3A2E"/>
    <w:rsid w:val="001A52FF"/>
    <w:rsid w:val="001A7F59"/>
    <w:rsid w:val="001B0C3E"/>
    <w:rsid w:val="001B0F6D"/>
    <w:rsid w:val="001B2D24"/>
    <w:rsid w:val="001B4FF7"/>
    <w:rsid w:val="001B7F53"/>
    <w:rsid w:val="001D0762"/>
    <w:rsid w:val="001E4D8B"/>
    <w:rsid w:val="001F010B"/>
    <w:rsid w:val="001F0F59"/>
    <w:rsid w:val="001F3E03"/>
    <w:rsid w:val="001F63A4"/>
    <w:rsid w:val="001F7401"/>
    <w:rsid w:val="00203CA1"/>
    <w:rsid w:val="002066E1"/>
    <w:rsid w:val="002073FE"/>
    <w:rsid w:val="0021281C"/>
    <w:rsid w:val="00212D2F"/>
    <w:rsid w:val="00220BAD"/>
    <w:rsid w:val="002220D7"/>
    <w:rsid w:val="0022292E"/>
    <w:rsid w:val="00223CE4"/>
    <w:rsid w:val="0023004C"/>
    <w:rsid w:val="00236B79"/>
    <w:rsid w:val="002375AF"/>
    <w:rsid w:val="00237637"/>
    <w:rsid w:val="002439B3"/>
    <w:rsid w:val="0024408C"/>
    <w:rsid w:val="00244EEB"/>
    <w:rsid w:val="00245A34"/>
    <w:rsid w:val="00251D05"/>
    <w:rsid w:val="00260192"/>
    <w:rsid w:val="00261029"/>
    <w:rsid w:val="00272E41"/>
    <w:rsid w:val="00286ED2"/>
    <w:rsid w:val="00292203"/>
    <w:rsid w:val="00295C13"/>
    <w:rsid w:val="002A11F5"/>
    <w:rsid w:val="002A1DDA"/>
    <w:rsid w:val="002A5D7D"/>
    <w:rsid w:val="002B3280"/>
    <w:rsid w:val="002B6D9C"/>
    <w:rsid w:val="002C4168"/>
    <w:rsid w:val="002D5B7C"/>
    <w:rsid w:val="002E0063"/>
    <w:rsid w:val="002E65AC"/>
    <w:rsid w:val="003002D8"/>
    <w:rsid w:val="003026BD"/>
    <w:rsid w:val="003039B3"/>
    <w:rsid w:val="0031267D"/>
    <w:rsid w:val="00313632"/>
    <w:rsid w:val="003224E7"/>
    <w:rsid w:val="0032367E"/>
    <w:rsid w:val="00325336"/>
    <w:rsid w:val="003259F3"/>
    <w:rsid w:val="003263AE"/>
    <w:rsid w:val="00335288"/>
    <w:rsid w:val="00337187"/>
    <w:rsid w:val="003372D2"/>
    <w:rsid w:val="00340564"/>
    <w:rsid w:val="00343674"/>
    <w:rsid w:val="00343D3E"/>
    <w:rsid w:val="00344AE6"/>
    <w:rsid w:val="00355C6D"/>
    <w:rsid w:val="003574EB"/>
    <w:rsid w:val="00357543"/>
    <w:rsid w:val="00357844"/>
    <w:rsid w:val="00360888"/>
    <w:rsid w:val="00366647"/>
    <w:rsid w:val="0036713F"/>
    <w:rsid w:val="0037150F"/>
    <w:rsid w:val="00373185"/>
    <w:rsid w:val="00373454"/>
    <w:rsid w:val="003845EC"/>
    <w:rsid w:val="00397015"/>
    <w:rsid w:val="003A1BC2"/>
    <w:rsid w:val="003A3BC3"/>
    <w:rsid w:val="003A463A"/>
    <w:rsid w:val="003A4BC3"/>
    <w:rsid w:val="003B12D1"/>
    <w:rsid w:val="003B3AFC"/>
    <w:rsid w:val="003B5090"/>
    <w:rsid w:val="003C70CB"/>
    <w:rsid w:val="003C7CB9"/>
    <w:rsid w:val="003D2B86"/>
    <w:rsid w:val="003E44E6"/>
    <w:rsid w:val="003E52A1"/>
    <w:rsid w:val="003F1771"/>
    <w:rsid w:val="00410A12"/>
    <w:rsid w:val="004111AA"/>
    <w:rsid w:val="00425FFF"/>
    <w:rsid w:val="00427383"/>
    <w:rsid w:val="00432058"/>
    <w:rsid w:val="00433CC0"/>
    <w:rsid w:val="0044144B"/>
    <w:rsid w:val="004425EA"/>
    <w:rsid w:val="00444AF9"/>
    <w:rsid w:val="00462F3E"/>
    <w:rsid w:val="00463C24"/>
    <w:rsid w:val="004714D3"/>
    <w:rsid w:val="00481944"/>
    <w:rsid w:val="00484846"/>
    <w:rsid w:val="00484F87"/>
    <w:rsid w:val="004851F8"/>
    <w:rsid w:val="00485450"/>
    <w:rsid w:val="0049735E"/>
    <w:rsid w:val="004A3BEB"/>
    <w:rsid w:val="004A4BA1"/>
    <w:rsid w:val="004A5177"/>
    <w:rsid w:val="004A5C0D"/>
    <w:rsid w:val="004B03EC"/>
    <w:rsid w:val="004B415D"/>
    <w:rsid w:val="004C7641"/>
    <w:rsid w:val="004D2A2A"/>
    <w:rsid w:val="004D5900"/>
    <w:rsid w:val="004E1020"/>
    <w:rsid w:val="004E4277"/>
    <w:rsid w:val="004E47CE"/>
    <w:rsid w:val="004E6C72"/>
    <w:rsid w:val="00507960"/>
    <w:rsid w:val="00517087"/>
    <w:rsid w:val="0051752E"/>
    <w:rsid w:val="00517EDD"/>
    <w:rsid w:val="00537DCE"/>
    <w:rsid w:val="00540845"/>
    <w:rsid w:val="005420F9"/>
    <w:rsid w:val="00544764"/>
    <w:rsid w:val="00544FB9"/>
    <w:rsid w:val="0054643D"/>
    <w:rsid w:val="00546623"/>
    <w:rsid w:val="005510DC"/>
    <w:rsid w:val="00552E79"/>
    <w:rsid w:val="005702E2"/>
    <w:rsid w:val="00571FD7"/>
    <w:rsid w:val="00575EEE"/>
    <w:rsid w:val="00582856"/>
    <w:rsid w:val="00583CF4"/>
    <w:rsid w:val="00583E0D"/>
    <w:rsid w:val="0058494C"/>
    <w:rsid w:val="00586551"/>
    <w:rsid w:val="00587B9C"/>
    <w:rsid w:val="005A2B2B"/>
    <w:rsid w:val="005A3616"/>
    <w:rsid w:val="005B492F"/>
    <w:rsid w:val="005C2647"/>
    <w:rsid w:val="005C38F0"/>
    <w:rsid w:val="005C60BB"/>
    <w:rsid w:val="005D2871"/>
    <w:rsid w:val="005D67A8"/>
    <w:rsid w:val="005E7FF8"/>
    <w:rsid w:val="005F0787"/>
    <w:rsid w:val="00606D7B"/>
    <w:rsid w:val="00610E8E"/>
    <w:rsid w:val="006111AF"/>
    <w:rsid w:val="006118CD"/>
    <w:rsid w:val="006141BF"/>
    <w:rsid w:val="00616DED"/>
    <w:rsid w:val="00621C77"/>
    <w:rsid w:val="00622468"/>
    <w:rsid w:val="00627F39"/>
    <w:rsid w:val="00637FE8"/>
    <w:rsid w:val="006409E5"/>
    <w:rsid w:val="00643D86"/>
    <w:rsid w:val="00644897"/>
    <w:rsid w:val="00645E1B"/>
    <w:rsid w:val="0065010C"/>
    <w:rsid w:val="0065423E"/>
    <w:rsid w:val="006563C6"/>
    <w:rsid w:val="006609C3"/>
    <w:rsid w:val="00660A89"/>
    <w:rsid w:val="00663C9F"/>
    <w:rsid w:val="006646A6"/>
    <w:rsid w:val="0066612C"/>
    <w:rsid w:val="00677E95"/>
    <w:rsid w:val="006811A3"/>
    <w:rsid w:val="00681466"/>
    <w:rsid w:val="00686AFA"/>
    <w:rsid w:val="0069621E"/>
    <w:rsid w:val="006962A6"/>
    <w:rsid w:val="006A4359"/>
    <w:rsid w:val="006A6D0A"/>
    <w:rsid w:val="006A79C4"/>
    <w:rsid w:val="006B22B0"/>
    <w:rsid w:val="006B6412"/>
    <w:rsid w:val="006B6D4D"/>
    <w:rsid w:val="006C3FD7"/>
    <w:rsid w:val="006D01E7"/>
    <w:rsid w:val="006D0BAC"/>
    <w:rsid w:val="006F421B"/>
    <w:rsid w:val="006F4C60"/>
    <w:rsid w:val="006F7932"/>
    <w:rsid w:val="007013AC"/>
    <w:rsid w:val="00705974"/>
    <w:rsid w:val="00705C34"/>
    <w:rsid w:val="00705DE7"/>
    <w:rsid w:val="007069B3"/>
    <w:rsid w:val="0070720E"/>
    <w:rsid w:val="00724603"/>
    <w:rsid w:val="00724D6A"/>
    <w:rsid w:val="0072650E"/>
    <w:rsid w:val="00731E60"/>
    <w:rsid w:val="0073558C"/>
    <w:rsid w:val="00740ECC"/>
    <w:rsid w:val="00742E70"/>
    <w:rsid w:val="00744DE8"/>
    <w:rsid w:val="00751F4F"/>
    <w:rsid w:val="00752DE2"/>
    <w:rsid w:val="00754BB9"/>
    <w:rsid w:val="00756530"/>
    <w:rsid w:val="00783932"/>
    <w:rsid w:val="007901CD"/>
    <w:rsid w:val="0079041A"/>
    <w:rsid w:val="00793EE5"/>
    <w:rsid w:val="00794A5D"/>
    <w:rsid w:val="007A0040"/>
    <w:rsid w:val="007A4414"/>
    <w:rsid w:val="007A514E"/>
    <w:rsid w:val="007A7ACF"/>
    <w:rsid w:val="007B354B"/>
    <w:rsid w:val="007B690C"/>
    <w:rsid w:val="007C2EA3"/>
    <w:rsid w:val="007C7D34"/>
    <w:rsid w:val="007D49BB"/>
    <w:rsid w:val="007D5A67"/>
    <w:rsid w:val="007E0282"/>
    <w:rsid w:val="007E6C2A"/>
    <w:rsid w:val="007F287A"/>
    <w:rsid w:val="007F393E"/>
    <w:rsid w:val="00801F1D"/>
    <w:rsid w:val="0081101F"/>
    <w:rsid w:val="00814CCB"/>
    <w:rsid w:val="008161E6"/>
    <w:rsid w:val="00817262"/>
    <w:rsid w:val="00820404"/>
    <w:rsid w:val="008246E9"/>
    <w:rsid w:val="008349F8"/>
    <w:rsid w:val="008352A5"/>
    <w:rsid w:val="008357CE"/>
    <w:rsid w:val="00847019"/>
    <w:rsid w:val="00851075"/>
    <w:rsid w:val="0085731D"/>
    <w:rsid w:val="0086498E"/>
    <w:rsid w:val="00866FAD"/>
    <w:rsid w:val="008753E3"/>
    <w:rsid w:val="00875C66"/>
    <w:rsid w:val="00876902"/>
    <w:rsid w:val="00881E33"/>
    <w:rsid w:val="00883BEC"/>
    <w:rsid w:val="008906FC"/>
    <w:rsid w:val="00891BC8"/>
    <w:rsid w:val="008A0B1F"/>
    <w:rsid w:val="008A3D4D"/>
    <w:rsid w:val="008B47FA"/>
    <w:rsid w:val="008B534F"/>
    <w:rsid w:val="008C067E"/>
    <w:rsid w:val="008D109E"/>
    <w:rsid w:val="008D47A0"/>
    <w:rsid w:val="008D597B"/>
    <w:rsid w:val="008E03CB"/>
    <w:rsid w:val="008E0871"/>
    <w:rsid w:val="008E7422"/>
    <w:rsid w:val="008F2ACB"/>
    <w:rsid w:val="008F5A84"/>
    <w:rsid w:val="008F6D10"/>
    <w:rsid w:val="008F75C6"/>
    <w:rsid w:val="008F7712"/>
    <w:rsid w:val="008F7A38"/>
    <w:rsid w:val="00902372"/>
    <w:rsid w:val="009056F2"/>
    <w:rsid w:val="00906927"/>
    <w:rsid w:val="00913CC1"/>
    <w:rsid w:val="009175A4"/>
    <w:rsid w:val="00921783"/>
    <w:rsid w:val="009226D9"/>
    <w:rsid w:val="00924807"/>
    <w:rsid w:val="00926A8B"/>
    <w:rsid w:val="00940B25"/>
    <w:rsid w:val="00944AA4"/>
    <w:rsid w:val="00945018"/>
    <w:rsid w:val="009522AA"/>
    <w:rsid w:val="00953804"/>
    <w:rsid w:val="00953E9A"/>
    <w:rsid w:val="00954BDE"/>
    <w:rsid w:val="00961786"/>
    <w:rsid w:val="00966168"/>
    <w:rsid w:val="00970933"/>
    <w:rsid w:val="0097097F"/>
    <w:rsid w:val="0097125E"/>
    <w:rsid w:val="00972592"/>
    <w:rsid w:val="00973350"/>
    <w:rsid w:val="00977795"/>
    <w:rsid w:val="00980B2F"/>
    <w:rsid w:val="00986161"/>
    <w:rsid w:val="009909D5"/>
    <w:rsid w:val="00997FD9"/>
    <w:rsid w:val="009A6869"/>
    <w:rsid w:val="009B522B"/>
    <w:rsid w:val="009B7CD2"/>
    <w:rsid w:val="009C02FD"/>
    <w:rsid w:val="009C49AC"/>
    <w:rsid w:val="009D0216"/>
    <w:rsid w:val="009D1ED1"/>
    <w:rsid w:val="009D354A"/>
    <w:rsid w:val="009E584F"/>
    <w:rsid w:val="009E6F7D"/>
    <w:rsid w:val="009F1886"/>
    <w:rsid w:val="009F53C8"/>
    <w:rsid w:val="00A05A43"/>
    <w:rsid w:val="00A10120"/>
    <w:rsid w:val="00A10A6F"/>
    <w:rsid w:val="00A1174D"/>
    <w:rsid w:val="00A1616E"/>
    <w:rsid w:val="00A226AF"/>
    <w:rsid w:val="00A30E05"/>
    <w:rsid w:val="00A40FF0"/>
    <w:rsid w:val="00A41C17"/>
    <w:rsid w:val="00A45503"/>
    <w:rsid w:val="00A50582"/>
    <w:rsid w:val="00A516E7"/>
    <w:rsid w:val="00A55F7A"/>
    <w:rsid w:val="00A5683C"/>
    <w:rsid w:val="00A61736"/>
    <w:rsid w:val="00A6573B"/>
    <w:rsid w:val="00A67CFE"/>
    <w:rsid w:val="00A82EE4"/>
    <w:rsid w:val="00A82F36"/>
    <w:rsid w:val="00A8395E"/>
    <w:rsid w:val="00A90433"/>
    <w:rsid w:val="00A924DD"/>
    <w:rsid w:val="00A92B81"/>
    <w:rsid w:val="00A97D9B"/>
    <w:rsid w:val="00AA0066"/>
    <w:rsid w:val="00AA048A"/>
    <w:rsid w:val="00AA106B"/>
    <w:rsid w:val="00AA2C6C"/>
    <w:rsid w:val="00AA4D79"/>
    <w:rsid w:val="00AA7A50"/>
    <w:rsid w:val="00AC1C9D"/>
    <w:rsid w:val="00AC506B"/>
    <w:rsid w:val="00AC70DE"/>
    <w:rsid w:val="00AE7026"/>
    <w:rsid w:val="00AE7F76"/>
    <w:rsid w:val="00AF04C6"/>
    <w:rsid w:val="00AF4F4F"/>
    <w:rsid w:val="00B00285"/>
    <w:rsid w:val="00B13902"/>
    <w:rsid w:val="00B1484D"/>
    <w:rsid w:val="00B20D37"/>
    <w:rsid w:val="00B23618"/>
    <w:rsid w:val="00B256AC"/>
    <w:rsid w:val="00B372CA"/>
    <w:rsid w:val="00B37F6A"/>
    <w:rsid w:val="00B4233E"/>
    <w:rsid w:val="00B53E1B"/>
    <w:rsid w:val="00B53F7C"/>
    <w:rsid w:val="00B5706D"/>
    <w:rsid w:val="00B63C44"/>
    <w:rsid w:val="00B63CDC"/>
    <w:rsid w:val="00B64F9C"/>
    <w:rsid w:val="00B650CE"/>
    <w:rsid w:val="00B700AD"/>
    <w:rsid w:val="00B92313"/>
    <w:rsid w:val="00B9494D"/>
    <w:rsid w:val="00B94E12"/>
    <w:rsid w:val="00BA023E"/>
    <w:rsid w:val="00BA4659"/>
    <w:rsid w:val="00BB1088"/>
    <w:rsid w:val="00BB1360"/>
    <w:rsid w:val="00BB4BAB"/>
    <w:rsid w:val="00BC0EF1"/>
    <w:rsid w:val="00BC566B"/>
    <w:rsid w:val="00BD5377"/>
    <w:rsid w:val="00BD5AD2"/>
    <w:rsid w:val="00BE09C6"/>
    <w:rsid w:val="00BE2937"/>
    <w:rsid w:val="00BE3ECD"/>
    <w:rsid w:val="00BF05A0"/>
    <w:rsid w:val="00BF135F"/>
    <w:rsid w:val="00BF65AC"/>
    <w:rsid w:val="00BF7D71"/>
    <w:rsid w:val="00C022DE"/>
    <w:rsid w:val="00C02319"/>
    <w:rsid w:val="00C156A3"/>
    <w:rsid w:val="00C24265"/>
    <w:rsid w:val="00C249C1"/>
    <w:rsid w:val="00C24F12"/>
    <w:rsid w:val="00C252A6"/>
    <w:rsid w:val="00C26EFD"/>
    <w:rsid w:val="00C325C1"/>
    <w:rsid w:val="00C36CA1"/>
    <w:rsid w:val="00C3706D"/>
    <w:rsid w:val="00C55A18"/>
    <w:rsid w:val="00C56A54"/>
    <w:rsid w:val="00C6042E"/>
    <w:rsid w:val="00C62EE6"/>
    <w:rsid w:val="00C64B56"/>
    <w:rsid w:val="00C737A4"/>
    <w:rsid w:val="00C80EBC"/>
    <w:rsid w:val="00C87133"/>
    <w:rsid w:val="00C92F95"/>
    <w:rsid w:val="00CA75CD"/>
    <w:rsid w:val="00CA7953"/>
    <w:rsid w:val="00CB3577"/>
    <w:rsid w:val="00CB512D"/>
    <w:rsid w:val="00CC4F69"/>
    <w:rsid w:val="00CC6446"/>
    <w:rsid w:val="00CF0218"/>
    <w:rsid w:val="00CF477C"/>
    <w:rsid w:val="00CF4DF4"/>
    <w:rsid w:val="00CF512A"/>
    <w:rsid w:val="00D011CF"/>
    <w:rsid w:val="00D014E1"/>
    <w:rsid w:val="00D06339"/>
    <w:rsid w:val="00D07E91"/>
    <w:rsid w:val="00D15CA8"/>
    <w:rsid w:val="00D20272"/>
    <w:rsid w:val="00D21DE4"/>
    <w:rsid w:val="00D2477D"/>
    <w:rsid w:val="00D26584"/>
    <w:rsid w:val="00D27B93"/>
    <w:rsid w:val="00D301DE"/>
    <w:rsid w:val="00D3159E"/>
    <w:rsid w:val="00D33550"/>
    <w:rsid w:val="00D36930"/>
    <w:rsid w:val="00D45951"/>
    <w:rsid w:val="00D47FF0"/>
    <w:rsid w:val="00D538A8"/>
    <w:rsid w:val="00D56AF8"/>
    <w:rsid w:val="00D578CC"/>
    <w:rsid w:val="00D62BDD"/>
    <w:rsid w:val="00D635D6"/>
    <w:rsid w:val="00D71AB7"/>
    <w:rsid w:val="00D81367"/>
    <w:rsid w:val="00D87085"/>
    <w:rsid w:val="00D87EFE"/>
    <w:rsid w:val="00D90A47"/>
    <w:rsid w:val="00D91596"/>
    <w:rsid w:val="00D9650B"/>
    <w:rsid w:val="00D966FF"/>
    <w:rsid w:val="00DA1673"/>
    <w:rsid w:val="00DA411B"/>
    <w:rsid w:val="00DA6DBF"/>
    <w:rsid w:val="00DB0F2F"/>
    <w:rsid w:val="00DB2CA3"/>
    <w:rsid w:val="00DB36F5"/>
    <w:rsid w:val="00DB6CC4"/>
    <w:rsid w:val="00DC47FC"/>
    <w:rsid w:val="00DD1C52"/>
    <w:rsid w:val="00DD38B8"/>
    <w:rsid w:val="00DD442F"/>
    <w:rsid w:val="00DD681B"/>
    <w:rsid w:val="00DE2AE9"/>
    <w:rsid w:val="00DF1531"/>
    <w:rsid w:val="00DF7CD2"/>
    <w:rsid w:val="00E01C39"/>
    <w:rsid w:val="00E0344B"/>
    <w:rsid w:val="00E03627"/>
    <w:rsid w:val="00E06878"/>
    <w:rsid w:val="00E06E41"/>
    <w:rsid w:val="00E07FEA"/>
    <w:rsid w:val="00E12245"/>
    <w:rsid w:val="00E15EE6"/>
    <w:rsid w:val="00E1614E"/>
    <w:rsid w:val="00E219BE"/>
    <w:rsid w:val="00E25424"/>
    <w:rsid w:val="00E260AB"/>
    <w:rsid w:val="00E32417"/>
    <w:rsid w:val="00E401F8"/>
    <w:rsid w:val="00E40E08"/>
    <w:rsid w:val="00E43CA7"/>
    <w:rsid w:val="00E46E23"/>
    <w:rsid w:val="00E503B6"/>
    <w:rsid w:val="00E50B35"/>
    <w:rsid w:val="00E54218"/>
    <w:rsid w:val="00E556C3"/>
    <w:rsid w:val="00E570FD"/>
    <w:rsid w:val="00E60D19"/>
    <w:rsid w:val="00E70C12"/>
    <w:rsid w:val="00E74835"/>
    <w:rsid w:val="00E83779"/>
    <w:rsid w:val="00E86D68"/>
    <w:rsid w:val="00E87DE1"/>
    <w:rsid w:val="00EA14E2"/>
    <w:rsid w:val="00EA6CCD"/>
    <w:rsid w:val="00EC46CD"/>
    <w:rsid w:val="00ED0582"/>
    <w:rsid w:val="00ED6C59"/>
    <w:rsid w:val="00ED6DA8"/>
    <w:rsid w:val="00EE0083"/>
    <w:rsid w:val="00EF0753"/>
    <w:rsid w:val="00EF16BB"/>
    <w:rsid w:val="00EF6223"/>
    <w:rsid w:val="00EF66B4"/>
    <w:rsid w:val="00EF66D7"/>
    <w:rsid w:val="00F13FAE"/>
    <w:rsid w:val="00F23665"/>
    <w:rsid w:val="00F33864"/>
    <w:rsid w:val="00F338A8"/>
    <w:rsid w:val="00F36F6E"/>
    <w:rsid w:val="00F376F6"/>
    <w:rsid w:val="00F461C8"/>
    <w:rsid w:val="00F53FD8"/>
    <w:rsid w:val="00F60F8F"/>
    <w:rsid w:val="00F65943"/>
    <w:rsid w:val="00F65C82"/>
    <w:rsid w:val="00F661FC"/>
    <w:rsid w:val="00F7265A"/>
    <w:rsid w:val="00F848EB"/>
    <w:rsid w:val="00F926FB"/>
    <w:rsid w:val="00F9629C"/>
    <w:rsid w:val="00FB51A2"/>
    <w:rsid w:val="00FC0396"/>
    <w:rsid w:val="00FC47AB"/>
    <w:rsid w:val="00FC50BF"/>
    <w:rsid w:val="00FC51FF"/>
    <w:rsid w:val="00FD0B1E"/>
    <w:rsid w:val="00FD170F"/>
    <w:rsid w:val="00FD1878"/>
    <w:rsid w:val="00FD19AB"/>
    <w:rsid w:val="00FD31C8"/>
    <w:rsid w:val="00FE68A8"/>
    <w:rsid w:val="00FF12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F15D"/>
  <w15:chartTrackingRefBased/>
  <w15:docId w15:val="{9CAC627C-86BC-400E-89B7-8F3F5DC8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5900"/>
    <w:rPr>
      <w:lang w:bidi="ar-QA"/>
    </w:rPr>
  </w:style>
  <w:style w:type="paragraph" w:styleId="Heading1">
    <w:name w:val="heading 1"/>
    <w:basedOn w:val="Normal"/>
    <w:next w:val="Normal"/>
    <w:link w:val="Heading1Char"/>
    <w:uiPriority w:val="9"/>
    <w:qFormat/>
    <w:rsid w:val="004D5900"/>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5900"/>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59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59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59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59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9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9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90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D5900"/>
    <w:rPr>
      <w:rFonts w:asciiTheme="majorHAnsi" w:hAnsiTheme="majorHAnsi" w:eastAsiaTheme="majorEastAsia" w:cstheme="majorBidi"/>
      <w:color w:val="2F5496" w:themeColor="accent1" w:themeShade="BF"/>
      <w:sz w:val="40"/>
      <w:szCs w:val="40"/>
      <w:lang w:bidi="ar-QA"/>
    </w:rPr>
  </w:style>
  <w:style w:type="character" w:styleId="Heading2Char" w:customStyle="1">
    <w:name w:val="Heading 2 Char"/>
    <w:basedOn w:val="DefaultParagraphFont"/>
    <w:link w:val="Heading2"/>
    <w:uiPriority w:val="9"/>
    <w:semiHidden/>
    <w:rsid w:val="004D5900"/>
    <w:rPr>
      <w:rFonts w:asciiTheme="majorHAnsi" w:hAnsiTheme="majorHAnsi" w:eastAsiaTheme="majorEastAsia" w:cstheme="majorBidi"/>
      <w:color w:val="2F5496" w:themeColor="accent1" w:themeShade="BF"/>
      <w:sz w:val="32"/>
      <w:szCs w:val="32"/>
      <w:lang w:bidi="ar-QA"/>
    </w:rPr>
  </w:style>
  <w:style w:type="character" w:styleId="Heading3Char" w:customStyle="1">
    <w:name w:val="Heading 3 Char"/>
    <w:basedOn w:val="DefaultParagraphFont"/>
    <w:link w:val="Heading3"/>
    <w:uiPriority w:val="9"/>
    <w:semiHidden/>
    <w:rsid w:val="004D5900"/>
    <w:rPr>
      <w:rFonts w:eastAsiaTheme="majorEastAsia" w:cstheme="majorBidi"/>
      <w:color w:val="2F5496" w:themeColor="accent1" w:themeShade="BF"/>
      <w:sz w:val="28"/>
      <w:szCs w:val="28"/>
      <w:lang w:bidi="ar-QA"/>
    </w:rPr>
  </w:style>
  <w:style w:type="character" w:styleId="Heading4Char" w:customStyle="1">
    <w:name w:val="Heading 4 Char"/>
    <w:basedOn w:val="DefaultParagraphFont"/>
    <w:link w:val="Heading4"/>
    <w:uiPriority w:val="9"/>
    <w:semiHidden/>
    <w:rsid w:val="004D5900"/>
    <w:rPr>
      <w:rFonts w:eastAsiaTheme="majorEastAsia" w:cstheme="majorBidi"/>
      <w:i/>
      <w:iCs/>
      <w:color w:val="2F5496" w:themeColor="accent1" w:themeShade="BF"/>
      <w:lang w:bidi="ar-QA"/>
    </w:rPr>
  </w:style>
  <w:style w:type="character" w:styleId="Heading5Char" w:customStyle="1">
    <w:name w:val="Heading 5 Char"/>
    <w:basedOn w:val="DefaultParagraphFont"/>
    <w:link w:val="Heading5"/>
    <w:uiPriority w:val="9"/>
    <w:semiHidden/>
    <w:rsid w:val="004D5900"/>
    <w:rPr>
      <w:rFonts w:eastAsiaTheme="majorEastAsia" w:cstheme="majorBidi"/>
      <w:color w:val="2F5496" w:themeColor="accent1" w:themeShade="BF"/>
      <w:lang w:bidi="ar-QA"/>
    </w:rPr>
  </w:style>
  <w:style w:type="character" w:styleId="Heading6Char" w:customStyle="1">
    <w:name w:val="Heading 6 Char"/>
    <w:basedOn w:val="DefaultParagraphFont"/>
    <w:link w:val="Heading6"/>
    <w:uiPriority w:val="9"/>
    <w:semiHidden/>
    <w:rsid w:val="004D5900"/>
    <w:rPr>
      <w:rFonts w:eastAsiaTheme="majorEastAsia" w:cstheme="majorBidi"/>
      <w:i/>
      <w:iCs/>
      <w:color w:val="595959" w:themeColor="text1" w:themeTint="A6"/>
      <w:lang w:bidi="ar-QA"/>
    </w:rPr>
  </w:style>
  <w:style w:type="character" w:styleId="Heading7Char" w:customStyle="1">
    <w:name w:val="Heading 7 Char"/>
    <w:basedOn w:val="DefaultParagraphFont"/>
    <w:link w:val="Heading7"/>
    <w:uiPriority w:val="9"/>
    <w:semiHidden/>
    <w:rsid w:val="004D5900"/>
    <w:rPr>
      <w:rFonts w:eastAsiaTheme="majorEastAsia" w:cstheme="majorBidi"/>
      <w:color w:val="595959" w:themeColor="text1" w:themeTint="A6"/>
      <w:lang w:bidi="ar-QA"/>
    </w:rPr>
  </w:style>
  <w:style w:type="character" w:styleId="Heading8Char" w:customStyle="1">
    <w:name w:val="Heading 8 Char"/>
    <w:basedOn w:val="DefaultParagraphFont"/>
    <w:link w:val="Heading8"/>
    <w:uiPriority w:val="9"/>
    <w:semiHidden/>
    <w:rsid w:val="004D5900"/>
    <w:rPr>
      <w:rFonts w:eastAsiaTheme="majorEastAsia" w:cstheme="majorBidi"/>
      <w:i/>
      <w:iCs/>
      <w:color w:val="272727" w:themeColor="text1" w:themeTint="D8"/>
      <w:lang w:bidi="ar-QA"/>
    </w:rPr>
  </w:style>
  <w:style w:type="character" w:styleId="Heading9Char" w:customStyle="1">
    <w:name w:val="Heading 9 Char"/>
    <w:basedOn w:val="DefaultParagraphFont"/>
    <w:link w:val="Heading9"/>
    <w:uiPriority w:val="9"/>
    <w:semiHidden/>
    <w:rsid w:val="004D5900"/>
    <w:rPr>
      <w:rFonts w:eastAsiaTheme="majorEastAsia" w:cstheme="majorBidi"/>
      <w:color w:val="272727" w:themeColor="text1" w:themeTint="D8"/>
      <w:lang w:bidi="ar-QA"/>
    </w:rPr>
  </w:style>
  <w:style w:type="paragraph" w:styleId="Title">
    <w:name w:val="Title"/>
    <w:basedOn w:val="Normal"/>
    <w:next w:val="Normal"/>
    <w:link w:val="TitleChar"/>
    <w:uiPriority w:val="10"/>
    <w:qFormat/>
    <w:rsid w:val="004D590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D5900"/>
    <w:rPr>
      <w:rFonts w:asciiTheme="majorHAnsi" w:hAnsiTheme="majorHAnsi" w:eastAsiaTheme="majorEastAsia" w:cstheme="majorBidi"/>
      <w:spacing w:val="-10"/>
      <w:kern w:val="28"/>
      <w:sz w:val="56"/>
      <w:szCs w:val="56"/>
      <w:lang w:bidi="ar-QA"/>
    </w:rPr>
  </w:style>
  <w:style w:type="paragraph" w:styleId="Subtitle">
    <w:name w:val="Subtitle"/>
    <w:basedOn w:val="Normal"/>
    <w:next w:val="Normal"/>
    <w:link w:val="SubtitleChar"/>
    <w:uiPriority w:val="11"/>
    <w:qFormat/>
    <w:rsid w:val="004D5900"/>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D5900"/>
    <w:rPr>
      <w:rFonts w:eastAsiaTheme="majorEastAsia" w:cstheme="majorBidi"/>
      <w:color w:val="595959" w:themeColor="text1" w:themeTint="A6"/>
      <w:spacing w:val="15"/>
      <w:sz w:val="28"/>
      <w:szCs w:val="28"/>
      <w:lang w:bidi="ar-QA"/>
    </w:rPr>
  </w:style>
  <w:style w:type="paragraph" w:styleId="Quote">
    <w:name w:val="Quote"/>
    <w:basedOn w:val="Normal"/>
    <w:next w:val="Normal"/>
    <w:link w:val="QuoteChar"/>
    <w:uiPriority w:val="29"/>
    <w:qFormat/>
    <w:rsid w:val="004D5900"/>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4D5900"/>
    <w:rPr>
      <w:i/>
      <w:iCs/>
      <w:color w:val="404040" w:themeColor="text1" w:themeTint="BF"/>
      <w:lang w:bidi="ar-QA"/>
    </w:rPr>
  </w:style>
  <w:style w:type="paragraph" w:styleId="ListParagraph">
    <w:name w:val="List Paragraph"/>
    <w:basedOn w:val="Normal"/>
    <w:uiPriority w:val="34"/>
    <w:qFormat/>
    <w:rsid w:val="004D5900"/>
    <w:pPr>
      <w:ind w:left="720"/>
      <w:contextualSpacing/>
    </w:pPr>
  </w:style>
  <w:style w:type="character" w:styleId="IntenseEmphasis">
    <w:name w:val="Intense Emphasis"/>
    <w:basedOn w:val="DefaultParagraphFont"/>
    <w:uiPriority w:val="21"/>
    <w:qFormat/>
    <w:rsid w:val="004D5900"/>
    <w:rPr>
      <w:i/>
      <w:iCs/>
      <w:color w:val="2F5496" w:themeColor="accent1" w:themeShade="BF"/>
    </w:rPr>
  </w:style>
  <w:style w:type="paragraph" w:styleId="IntenseQuote">
    <w:name w:val="Intense Quote"/>
    <w:basedOn w:val="Normal"/>
    <w:next w:val="Normal"/>
    <w:link w:val="IntenseQuoteChar"/>
    <w:uiPriority w:val="30"/>
    <w:qFormat/>
    <w:rsid w:val="004D5900"/>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4D5900"/>
    <w:rPr>
      <w:i/>
      <w:iCs/>
      <w:color w:val="2F5496" w:themeColor="accent1" w:themeShade="BF"/>
      <w:lang w:bidi="ar-QA"/>
    </w:rPr>
  </w:style>
  <w:style w:type="character" w:styleId="IntenseReference">
    <w:name w:val="Intense Reference"/>
    <w:basedOn w:val="DefaultParagraphFont"/>
    <w:uiPriority w:val="32"/>
    <w:qFormat/>
    <w:rsid w:val="004D5900"/>
    <w:rPr>
      <w:b/>
      <w:bCs/>
      <w:smallCaps/>
      <w:color w:val="2F5496" w:themeColor="accent1" w:themeShade="BF"/>
      <w:spacing w:val="5"/>
    </w:rPr>
  </w:style>
  <w:style w:type="paragraph" w:styleId="ICSIDMauritiusGosling1" w:customStyle="1">
    <w:name w:val="ICSID Mauritius Gosling 1"/>
    <w:basedOn w:val="Normal"/>
    <w:next w:val="BodyText"/>
    <w:link w:val="ICSIDMauritiusGosling1Char"/>
    <w:uiPriority w:val="9"/>
    <w:qFormat/>
    <w:rsid w:val="007F393E"/>
    <w:pPr>
      <w:numPr>
        <w:numId w:val="2"/>
      </w:numPr>
      <w:spacing w:after="240" w:line="240" w:lineRule="auto"/>
      <w:jc w:val="left"/>
      <w:outlineLvl w:val="0"/>
    </w:pPr>
    <w:rPr>
      <w:rFonts w:ascii="Times New Roman Bold" w:hAnsi="Times New Roman Bold" w:eastAsia="Times New Roman" w:cs="Times New Roman"/>
      <w:b/>
      <w:smallCaps/>
      <w:kern w:val="0"/>
      <w:sz w:val="24"/>
      <w:szCs w:val="24"/>
      <w:lang w:bidi="ar-SA"/>
    </w:rPr>
  </w:style>
  <w:style w:type="character" w:styleId="ICSIDMauritiusGosling1Char" w:customStyle="1">
    <w:name w:val="ICSID Mauritius Gosling 1 Char"/>
    <w:basedOn w:val="DefaultParagraphFont"/>
    <w:link w:val="ICSIDMauritiusGosling1"/>
    <w:uiPriority w:val="9"/>
    <w:rsid w:val="007F393E"/>
    <w:rPr>
      <w:rFonts w:ascii="Times New Roman Bold" w:hAnsi="Times New Roman Bold" w:eastAsia="Times New Roman" w:cs="Times New Roman"/>
      <w:b/>
      <w:smallCaps/>
      <w:kern w:val="0"/>
      <w:sz w:val="24"/>
      <w:szCs w:val="24"/>
    </w:rPr>
  </w:style>
  <w:style w:type="paragraph" w:styleId="ICSIDMauritiusGosling2" w:customStyle="1">
    <w:name w:val="ICSID Mauritius Gosling 2"/>
    <w:basedOn w:val="Normal"/>
    <w:next w:val="BodyText"/>
    <w:uiPriority w:val="9"/>
    <w:qFormat/>
    <w:rsid w:val="00E83779"/>
    <w:pPr>
      <w:keepNext/>
      <w:numPr>
        <w:ilvl w:val="1"/>
        <w:numId w:val="2"/>
      </w:numPr>
      <w:tabs>
        <w:tab w:val="clear" w:pos="1530"/>
        <w:tab w:val="num" w:pos="360"/>
      </w:tabs>
      <w:spacing w:after="240" w:line="240" w:lineRule="auto"/>
      <w:ind w:left="0" w:firstLine="0"/>
      <w:outlineLvl w:val="1"/>
    </w:pPr>
    <w:rPr>
      <w:rFonts w:ascii="Times New Roman Bold" w:hAnsi="Times New Roman Bold" w:eastAsia="Times New Roman" w:cs="Times New Roman"/>
      <w:b/>
      <w:kern w:val="0"/>
      <w:sz w:val="24"/>
      <w:szCs w:val="24"/>
      <w:lang w:bidi="ar-SA"/>
    </w:rPr>
  </w:style>
  <w:style w:type="paragraph" w:styleId="ICSIDMauritiusGosling3" w:customStyle="1">
    <w:name w:val="ICSID Mauritius Gosling 3"/>
    <w:basedOn w:val="Normal"/>
    <w:next w:val="BodyText"/>
    <w:uiPriority w:val="9"/>
    <w:qFormat/>
    <w:rsid w:val="007F393E"/>
    <w:pPr>
      <w:keepNext/>
      <w:numPr>
        <w:ilvl w:val="2"/>
        <w:numId w:val="2"/>
      </w:numPr>
      <w:tabs>
        <w:tab w:val="clear" w:pos="2160"/>
        <w:tab w:val="num" w:pos="360"/>
      </w:tabs>
      <w:spacing w:after="240" w:line="240" w:lineRule="auto"/>
      <w:ind w:left="0" w:firstLine="0"/>
      <w:outlineLvl w:val="2"/>
    </w:pPr>
    <w:rPr>
      <w:rFonts w:ascii="Times New Roman Bold" w:hAnsi="Times New Roman Bold" w:eastAsia="Times New Roman" w:cs="Times New Roman"/>
      <w:b/>
      <w:kern w:val="0"/>
      <w:sz w:val="24"/>
      <w:szCs w:val="24"/>
      <w:lang w:bidi="ar-SA"/>
    </w:rPr>
  </w:style>
  <w:style w:type="paragraph" w:styleId="ICSIDMauritiusGosling4" w:customStyle="1">
    <w:name w:val="ICSID Mauritius Gosling 4"/>
    <w:basedOn w:val="Normal"/>
    <w:next w:val="BodyText"/>
    <w:uiPriority w:val="9"/>
    <w:qFormat/>
    <w:rsid w:val="007F393E"/>
    <w:pPr>
      <w:keepNext/>
      <w:numPr>
        <w:ilvl w:val="3"/>
        <w:numId w:val="2"/>
      </w:numPr>
      <w:tabs>
        <w:tab w:val="clear" w:pos="2880"/>
        <w:tab w:val="num" w:pos="360"/>
      </w:tabs>
      <w:spacing w:after="240" w:line="240" w:lineRule="auto"/>
      <w:ind w:left="0" w:firstLine="0"/>
      <w:outlineLvl w:val="3"/>
    </w:pPr>
    <w:rPr>
      <w:rFonts w:ascii="Times New Roman Bold" w:hAnsi="Times New Roman Bold" w:eastAsia="Times New Roman" w:cs="Times New Roman"/>
      <w:b/>
      <w:kern w:val="0"/>
      <w:sz w:val="24"/>
      <w:szCs w:val="24"/>
      <w:lang w:bidi="ar-SA"/>
    </w:rPr>
  </w:style>
  <w:style w:type="paragraph" w:styleId="ICSIDMauritiusGosling5" w:customStyle="1">
    <w:name w:val="ICSID Mauritius Gosling 5"/>
    <w:basedOn w:val="Normal"/>
    <w:next w:val="BodyText"/>
    <w:uiPriority w:val="9"/>
    <w:qFormat/>
    <w:rsid w:val="007F393E"/>
    <w:pPr>
      <w:numPr>
        <w:ilvl w:val="4"/>
        <w:numId w:val="2"/>
      </w:numPr>
      <w:tabs>
        <w:tab w:val="clear" w:pos="2160"/>
        <w:tab w:val="num" w:pos="360"/>
      </w:tabs>
      <w:spacing w:after="240" w:line="240" w:lineRule="auto"/>
      <w:ind w:left="0" w:firstLine="0"/>
      <w:outlineLvl w:val="4"/>
    </w:pPr>
    <w:rPr>
      <w:rFonts w:ascii="Times New Roman Bold" w:hAnsi="Times New Roman Bold" w:eastAsia="Times New Roman" w:cs="Times New Roman"/>
      <w:kern w:val="0"/>
      <w:sz w:val="24"/>
      <w:szCs w:val="24"/>
      <w:lang w:bidi="ar-SA"/>
    </w:rPr>
  </w:style>
  <w:style w:type="paragraph" w:styleId="ICSIDMauritiusGosling6" w:customStyle="1">
    <w:name w:val="ICSID Mauritius Gosling 6"/>
    <w:basedOn w:val="Normal"/>
    <w:next w:val="BodyText"/>
    <w:uiPriority w:val="9"/>
    <w:qFormat/>
    <w:rsid w:val="007F393E"/>
    <w:pPr>
      <w:numPr>
        <w:ilvl w:val="5"/>
        <w:numId w:val="2"/>
      </w:numPr>
      <w:tabs>
        <w:tab w:val="clear" w:pos="3600"/>
        <w:tab w:val="num" w:pos="360"/>
      </w:tabs>
      <w:spacing w:after="360" w:line="240" w:lineRule="auto"/>
      <w:ind w:left="0" w:firstLine="0"/>
      <w:jc w:val="left"/>
      <w:outlineLvl w:val="5"/>
    </w:pPr>
    <w:rPr>
      <w:rFonts w:ascii="Times New Roman" w:hAnsi="Times New Roman" w:eastAsia="Times New Roman" w:cs="Times New Roman"/>
      <w:kern w:val="0"/>
      <w:sz w:val="24"/>
      <w:szCs w:val="24"/>
      <w:u w:val="single"/>
      <w:lang w:bidi="ar-SA"/>
    </w:rPr>
  </w:style>
  <w:style w:type="paragraph" w:styleId="ICSIDMauritiusGosling7" w:customStyle="1">
    <w:name w:val="ICSID Mauritius Gosling 7"/>
    <w:basedOn w:val="Normal"/>
    <w:next w:val="BodyText"/>
    <w:uiPriority w:val="9"/>
    <w:qFormat/>
    <w:rsid w:val="007F393E"/>
    <w:pPr>
      <w:numPr>
        <w:ilvl w:val="6"/>
        <w:numId w:val="2"/>
      </w:numPr>
      <w:tabs>
        <w:tab w:val="clear" w:pos="5040"/>
        <w:tab w:val="num" w:pos="360"/>
      </w:tabs>
      <w:spacing w:after="360" w:line="240" w:lineRule="auto"/>
      <w:ind w:left="0" w:firstLine="0"/>
      <w:jc w:val="left"/>
      <w:outlineLvl w:val="6"/>
    </w:pPr>
    <w:rPr>
      <w:rFonts w:ascii="Times New Roman" w:hAnsi="Times New Roman" w:eastAsia="Times New Roman" w:cs="Times New Roman"/>
      <w:kern w:val="0"/>
      <w:sz w:val="24"/>
      <w:szCs w:val="24"/>
      <w:u w:val="single"/>
      <w:lang w:bidi="ar-SA"/>
    </w:rPr>
  </w:style>
  <w:style w:type="paragraph" w:styleId="ICSIDMauritiusGosling8" w:customStyle="1">
    <w:name w:val="ICSID Mauritius Gosling 8"/>
    <w:basedOn w:val="Normal"/>
    <w:next w:val="BodyText"/>
    <w:uiPriority w:val="9"/>
    <w:qFormat/>
    <w:rsid w:val="007F393E"/>
    <w:pPr>
      <w:numPr>
        <w:ilvl w:val="7"/>
        <w:numId w:val="2"/>
      </w:numPr>
      <w:tabs>
        <w:tab w:val="clear" w:pos="5040"/>
        <w:tab w:val="num" w:pos="360"/>
      </w:tabs>
      <w:spacing w:after="240" w:line="240" w:lineRule="auto"/>
      <w:ind w:left="0" w:firstLine="0"/>
      <w:jc w:val="left"/>
      <w:outlineLvl w:val="7"/>
    </w:pPr>
    <w:rPr>
      <w:rFonts w:ascii="Times New Roman" w:hAnsi="Times New Roman" w:eastAsia="Times New Roman" w:cs="Times New Roman"/>
      <w:kern w:val="0"/>
      <w:sz w:val="24"/>
      <w:szCs w:val="24"/>
      <w:u w:val="single"/>
      <w:lang w:bidi="ar-SA"/>
    </w:rPr>
  </w:style>
  <w:style w:type="paragraph" w:styleId="ICSIDMauritiusGosling9" w:customStyle="1">
    <w:name w:val="ICSID Mauritius Gosling 9"/>
    <w:basedOn w:val="Normal"/>
    <w:next w:val="BodyText"/>
    <w:uiPriority w:val="9"/>
    <w:qFormat/>
    <w:rsid w:val="007F393E"/>
    <w:pPr>
      <w:numPr>
        <w:ilvl w:val="8"/>
        <w:numId w:val="2"/>
      </w:numPr>
      <w:tabs>
        <w:tab w:val="clear" w:pos="1440"/>
        <w:tab w:val="num" w:pos="360"/>
      </w:tabs>
      <w:spacing w:after="0" w:line="360" w:lineRule="auto"/>
      <w:ind w:left="0" w:firstLine="0"/>
      <w:jc w:val="left"/>
      <w:outlineLvl w:val="8"/>
    </w:pPr>
    <w:rPr>
      <w:rFonts w:ascii="Times New Roman" w:hAnsi="Times New Roman" w:eastAsia="Times New Roman" w:cs="Times New Roman"/>
      <w:kern w:val="0"/>
      <w:sz w:val="24"/>
      <w:szCs w:val="24"/>
      <w:lang w:bidi="ar-SA"/>
    </w:rPr>
  </w:style>
  <w:style w:type="paragraph" w:styleId="BodyText">
    <w:name w:val="Body Text"/>
    <w:basedOn w:val="Normal"/>
    <w:link w:val="BodyTextChar"/>
    <w:uiPriority w:val="99"/>
    <w:semiHidden/>
    <w:unhideWhenUsed/>
    <w:rsid w:val="007F393E"/>
  </w:style>
  <w:style w:type="character" w:styleId="BodyTextChar" w:customStyle="1">
    <w:name w:val="Body Text Char"/>
    <w:basedOn w:val="DefaultParagraphFont"/>
    <w:link w:val="BodyText"/>
    <w:uiPriority w:val="99"/>
    <w:semiHidden/>
    <w:rsid w:val="007F393E"/>
    <w:rPr>
      <w:lang w:bidi="ar-QA"/>
    </w:rPr>
  </w:style>
  <w:style w:type="character" w:styleId="FootnoteReference">
    <w:name w:val="footnote reference"/>
    <w:aliases w:val="4_G,Ref,de nota al pie,Header Char1,Style 13,Heading 4 Char1 Char,Heading 4 Char Char Char Char,Car Car4,Heading 4 Char Char Char,Char Char Char Char,Footnote reference Char,FA Fu Char,FA Char,number,SUPERS,BVI fnr,Char1,Nota,o,FZ,FA "/>
    <w:link w:val="CharChar6CharCharCharCharCharChar"/>
    <w:uiPriority w:val="99"/>
    <w:qFormat/>
    <w:rsid w:val="00D578CC"/>
    <w:rPr>
      <w:vertAlign w:val="superscript"/>
    </w:rPr>
  </w:style>
  <w:style w:type="paragraph" w:styleId="CharChar6CharCharCharCharCharChar" w:customStyle="1">
    <w:name w:val="Char Char6 Char Char Char Char Char Char"/>
    <w:aliases w:val="Char6 Char Char Char Char Char Char Char"/>
    <w:basedOn w:val="Normal"/>
    <w:link w:val="FootnoteReference"/>
    <w:uiPriority w:val="99"/>
    <w:rsid w:val="00D578CC"/>
    <w:pPr>
      <w:spacing w:after="0" w:line="360" w:lineRule="auto"/>
      <w:jc w:val="center"/>
    </w:pPr>
    <w:rPr>
      <w:vertAlign w:val="superscript"/>
      <w:lang w:bidi="ar-SA"/>
    </w:rPr>
  </w:style>
  <w:style w:type="paragraph" w:styleId="FootnoteText">
    <w:name w:val="footnote text"/>
    <w:basedOn w:val="Normal"/>
    <w:link w:val="FootnoteTextChar"/>
    <w:uiPriority w:val="99"/>
    <w:unhideWhenUsed/>
    <w:qFormat/>
    <w:rsid w:val="00D578CC"/>
    <w:pPr>
      <w:spacing w:after="0" w:line="240" w:lineRule="auto"/>
    </w:pPr>
    <w:rPr>
      <w:rFonts w:ascii="Times New Roman" w:hAnsi="Times New Roman"/>
      <w:sz w:val="20"/>
      <w:szCs w:val="20"/>
      <w:lang w:bidi="ar-SA"/>
    </w:rPr>
  </w:style>
  <w:style w:type="character" w:styleId="FootnoteTextChar" w:customStyle="1">
    <w:name w:val="Footnote Text Char"/>
    <w:basedOn w:val="DefaultParagraphFont"/>
    <w:link w:val="FootnoteText"/>
    <w:uiPriority w:val="99"/>
    <w:rsid w:val="00D578CC"/>
    <w:rPr>
      <w:rFonts w:ascii="Times New Roman" w:hAnsi="Times New Roman"/>
      <w:sz w:val="20"/>
      <w:szCs w:val="20"/>
    </w:rPr>
  </w:style>
  <w:style w:type="character" w:styleId="Hyperlink">
    <w:name w:val="Hyperlink"/>
    <w:basedOn w:val="DefaultParagraphFont"/>
    <w:uiPriority w:val="99"/>
    <w:unhideWhenUsed/>
    <w:rsid w:val="00D578CC"/>
    <w:rPr>
      <w:color w:val="0563C1" w:themeColor="hyperlink"/>
      <w:u w:val="single"/>
    </w:rPr>
  </w:style>
  <w:style w:type="paragraph" w:styleId="Revision">
    <w:name w:val="Revision"/>
    <w:hidden/>
    <w:uiPriority w:val="99"/>
    <w:semiHidden/>
    <w:rsid w:val="00E83779"/>
    <w:pPr>
      <w:spacing w:after="0" w:line="240" w:lineRule="auto"/>
      <w:jc w:val="left"/>
    </w:pPr>
    <w:rPr>
      <w:lang w:bidi="ar-QA"/>
    </w:rPr>
  </w:style>
  <w:style w:type="character" w:styleId="CommentReference">
    <w:name w:val="annotation reference"/>
    <w:basedOn w:val="DefaultParagraphFont"/>
    <w:uiPriority w:val="99"/>
    <w:semiHidden/>
    <w:unhideWhenUsed/>
    <w:rsid w:val="00E83779"/>
    <w:rPr>
      <w:sz w:val="16"/>
      <w:szCs w:val="16"/>
    </w:rPr>
  </w:style>
  <w:style w:type="paragraph" w:styleId="CommentText">
    <w:name w:val="annotation text"/>
    <w:basedOn w:val="Normal"/>
    <w:link w:val="CommentTextChar"/>
    <w:uiPriority w:val="99"/>
    <w:unhideWhenUsed/>
    <w:rsid w:val="00E83779"/>
    <w:pPr>
      <w:spacing w:line="240" w:lineRule="auto"/>
    </w:pPr>
    <w:rPr>
      <w:sz w:val="20"/>
      <w:szCs w:val="20"/>
    </w:rPr>
  </w:style>
  <w:style w:type="character" w:styleId="CommentTextChar" w:customStyle="1">
    <w:name w:val="Comment Text Char"/>
    <w:basedOn w:val="DefaultParagraphFont"/>
    <w:link w:val="CommentText"/>
    <w:uiPriority w:val="99"/>
    <w:rsid w:val="00E83779"/>
    <w:rPr>
      <w:sz w:val="20"/>
      <w:szCs w:val="20"/>
      <w:lang w:bidi="ar-QA"/>
    </w:rPr>
  </w:style>
  <w:style w:type="paragraph" w:styleId="CommentSubject">
    <w:name w:val="annotation subject"/>
    <w:basedOn w:val="CommentText"/>
    <w:next w:val="CommentText"/>
    <w:link w:val="CommentSubjectChar"/>
    <w:uiPriority w:val="99"/>
    <w:semiHidden/>
    <w:unhideWhenUsed/>
    <w:rsid w:val="00E83779"/>
    <w:rPr>
      <w:b/>
      <w:bCs/>
    </w:rPr>
  </w:style>
  <w:style w:type="character" w:styleId="CommentSubjectChar" w:customStyle="1">
    <w:name w:val="Comment Subject Char"/>
    <w:basedOn w:val="CommentTextChar"/>
    <w:link w:val="CommentSubject"/>
    <w:uiPriority w:val="99"/>
    <w:semiHidden/>
    <w:rsid w:val="00E83779"/>
    <w:rPr>
      <w:b/>
      <w:bCs/>
      <w:sz w:val="20"/>
      <w:szCs w:val="20"/>
      <w:lang w:bidi="ar-QA"/>
    </w:rPr>
  </w:style>
  <w:style w:type="paragraph" w:styleId="Style1" w:customStyle="1">
    <w:name w:val="Style1"/>
    <w:basedOn w:val="ICSIDMauritiusGosling2"/>
    <w:qFormat/>
    <w:rsid w:val="00E83779"/>
    <w:pPr>
      <w:ind w:left="1440"/>
      <w:jc w:val="left"/>
    </w:pPr>
    <w:rPr>
      <w:i/>
      <w:iCs/>
    </w:rPr>
  </w:style>
  <w:style w:type="paragraph" w:styleId="Header">
    <w:name w:val="header"/>
    <w:basedOn w:val="Normal"/>
    <w:link w:val="HeaderChar"/>
    <w:uiPriority w:val="99"/>
    <w:unhideWhenUsed/>
    <w:rsid w:val="00E83779"/>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779"/>
    <w:rPr>
      <w:lang w:bidi="ar-QA"/>
    </w:rPr>
  </w:style>
  <w:style w:type="paragraph" w:styleId="Footer">
    <w:name w:val="footer"/>
    <w:basedOn w:val="Normal"/>
    <w:link w:val="FooterChar"/>
    <w:uiPriority w:val="99"/>
    <w:unhideWhenUsed/>
    <w:rsid w:val="00E83779"/>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779"/>
    <w:rPr>
      <w:lang w:bidi="ar-QA"/>
    </w:rPr>
  </w:style>
  <w:style w:type="paragraph" w:styleId="EndnoteText">
    <w:name w:val="endnote text"/>
    <w:basedOn w:val="Normal"/>
    <w:link w:val="EndnoteTextChar"/>
    <w:uiPriority w:val="99"/>
    <w:semiHidden/>
    <w:unhideWhenUsed/>
    <w:rsid w:val="000F3B47"/>
    <w:pPr>
      <w:spacing w:after="0" w:line="240" w:lineRule="auto"/>
    </w:pPr>
    <w:rPr>
      <w:sz w:val="20"/>
      <w:szCs w:val="20"/>
    </w:rPr>
  </w:style>
  <w:style w:type="character" w:styleId="EndnoteTextChar" w:customStyle="1">
    <w:name w:val="Endnote Text Char"/>
    <w:basedOn w:val="DefaultParagraphFont"/>
    <w:link w:val="EndnoteText"/>
    <w:uiPriority w:val="99"/>
    <w:semiHidden/>
    <w:rsid w:val="000F3B47"/>
    <w:rPr>
      <w:sz w:val="20"/>
      <w:szCs w:val="20"/>
      <w:lang w:bidi="ar-QA"/>
    </w:rPr>
  </w:style>
  <w:style w:type="character" w:styleId="EndnoteReference">
    <w:name w:val="endnote reference"/>
    <w:basedOn w:val="DefaultParagraphFont"/>
    <w:uiPriority w:val="99"/>
    <w:semiHidden/>
    <w:unhideWhenUsed/>
    <w:rsid w:val="000F3B47"/>
    <w:rPr>
      <w:vertAlign w:val="superscript"/>
    </w:rPr>
  </w:style>
  <w:style w:type="paragraph" w:styleId="Style2" w:customStyle="1">
    <w:name w:val="Style2"/>
    <w:basedOn w:val="ICSIDMauritiusGosling1"/>
    <w:link w:val="Style2Char"/>
    <w:qFormat/>
    <w:rsid w:val="00D87085"/>
    <w:pPr>
      <w:ind w:left="1440"/>
    </w:pPr>
    <w:rPr>
      <w:smallCaps w:val="0"/>
    </w:rPr>
  </w:style>
  <w:style w:type="character" w:styleId="Style2Char" w:customStyle="1">
    <w:name w:val="Style2 Char"/>
    <w:basedOn w:val="ICSIDMauritiusGosling1Char"/>
    <w:link w:val="Style2"/>
    <w:rsid w:val="00D87085"/>
    <w:rPr>
      <w:rFonts w:ascii="Times New Roman Bold" w:hAnsi="Times New Roman Bold" w:eastAsia="Times New Roman" w:cs="Times New Roman"/>
      <w:b/>
      <w:smallCap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40787">
      <w:bodyDiv w:val="1"/>
      <w:marLeft w:val="0"/>
      <w:marRight w:val="0"/>
      <w:marTop w:val="0"/>
      <w:marBottom w:val="0"/>
      <w:divBdr>
        <w:top w:val="none" w:sz="0" w:space="0" w:color="auto"/>
        <w:left w:val="none" w:sz="0" w:space="0" w:color="auto"/>
        <w:bottom w:val="none" w:sz="0" w:space="0" w:color="auto"/>
        <w:right w:val="none" w:sz="0" w:space="0" w:color="auto"/>
      </w:divBdr>
    </w:div>
    <w:div w:id="283191856">
      <w:bodyDiv w:val="1"/>
      <w:marLeft w:val="0"/>
      <w:marRight w:val="0"/>
      <w:marTop w:val="0"/>
      <w:marBottom w:val="0"/>
      <w:divBdr>
        <w:top w:val="none" w:sz="0" w:space="0" w:color="auto"/>
        <w:left w:val="none" w:sz="0" w:space="0" w:color="auto"/>
        <w:bottom w:val="none" w:sz="0" w:space="0" w:color="auto"/>
        <w:right w:val="none" w:sz="0" w:space="0" w:color="auto"/>
      </w:divBdr>
      <w:divsChild>
        <w:div w:id="1055277751">
          <w:marLeft w:val="0"/>
          <w:marRight w:val="0"/>
          <w:marTop w:val="0"/>
          <w:marBottom w:val="0"/>
          <w:divBdr>
            <w:top w:val="none" w:sz="0" w:space="0" w:color="auto"/>
            <w:left w:val="none" w:sz="0" w:space="0" w:color="auto"/>
            <w:bottom w:val="none" w:sz="0" w:space="0" w:color="auto"/>
            <w:right w:val="none" w:sz="0" w:space="0" w:color="auto"/>
          </w:divBdr>
        </w:div>
      </w:divsChild>
    </w:div>
    <w:div w:id="299458543">
      <w:bodyDiv w:val="1"/>
      <w:marLeft w:val="0"/>
      <w:marRight w:val="0"/>
      <w:marTop w:val="0"/>
      <w:marBottom w:val="0"/>
      <w:divBdr>
        <w:top w:val="none" w:sz="0" w:space="0" w:color="auto"/>
        <w:left w:val="none" w:sz="0" w:space="0" w:color="auto"/>
        <w:bottom w:val="none" w:sz="0" w:space="0" w:color="auto"/>
        <w:right w:val="none" w:sz="0" w:space="0" w:color="auto"/>
      </w:divBdr>
    </w:div>
    <w:div w:id="933778619">
      <w:bodyDiv w:val="1"/>
      <w:marLeft w:val="0"/>
      <w:marRight w:val="0"/>
      <w:marTop w:val="0"/>
      <w:marBottom w:val="0"/>
      <w:divBdr>
        <w:top w:val="none" w:sz="0" w:space="0" w:color="auto"/>
        <w:left w:val="none" w:sz="0" w:space="0" w:color="auto"/>
        <w:bottom w:val="none" w:sz="0" w:space="0" w:color="auto"/>
        <w:right w:val="none" w:sz="0" w:space="0" w:color="auto"/>
      </w:divBdr>
      <w:divsChild>
        <w:div w:id="301619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footnotes" Target="footnotes.xml" Id="rId6" /><Relationship Type="http://schemas.openxmlformats.org/officeDocument/2006/relationships/image" Target="media/image4.sv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1900-01-01T08:00:00.0000000Z</dcterms:created>
  <dcterms:modified xsi:type="dcterms:W3CDTF">1900-01-01T08:00:00.0000000Z</dcterms:modified>
</coreProperties>
</file>